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rPr/>
      </w:pPr>
      <w:r>
        <w:rPr/>
        <w:t>Draft of 10/29/00</w:t>
      </w:r>
    </w:p>
    <w:p>
      <w:pPr>
        <w:pStyle w:val="Normal"/>
        <w:ind w:end="180"/>
        <w:jc w:val="center"/>
        <w:rPr>
          <w:b/>
          <w:sz w:val="22"/>
          <w:u w:val="single"/>
        </w:rPr>
      </w:pPr>
      <w:r>
        <w:rPr>
          <w:b/>
          <w:sz w:val="22"/>
          <w:u w:val="single"/>
        </w:rPr>
      </w:r>
    </w:p>
    <w:p>
      <w:pPr>
        <w:pStyle w:val="Normal"/>
        <w:ind w:end="180"/>
        <w:jc w:val="center"/>
        <w:rPr>
          <w:b/>
          <w:sz w:val="22"/>
        </w:rPr>
      </w:pPr>
      <w:r>
        <w:rPr>
          <w:b/>
          <w:sz w:val="22"/>
          <w:u w:val="single"/>
        </w:rPr>
        <w:t>EXHIBIT A</w:t>
      </w:r>
    </w:p>
    <w:p>
      <w:pPr>
        <w:pStyle w:val="Normal"/>
        <w:ind w:end="180"/>
        <w:jc w:val="center"/>
        <w:rPr>
          <w:b/>
          <w:sz w:val="22"/>
        </w:rPr>
      </w:pPr>
      <w:r>
        <w:rPr>
          <w:b/>
          <w:sz w:val="22"/>
        </w:rPr>
      </w:r>
    </w:p>
    <w:p>
      <w:pPr>
        <w:pStyle w:val="Normal"/>
        <w:ind w:end="180"/>
        <w:jc w:val="center"/>
        <w:rPr>
          <w:b/>
          <w:sz w:val="22"/>
        </w:rPr>
      </w:pPr>
      <w:r>
        <w:rPr>
          <w:b/>
          <w:sz w:val="22"/>
        </w:rPr>
        <w:t>ENRON CORP.</w:t>
      </w:r>
    </w:p>
    <w:p>
      <w:pPr>
        <w:pStyle w:val="Normal"/>
        <w:spacing w:lineRule="exact" w:line="240"/>
        <w:ind w:end="180"/>
        <w:jc w:val="center"/>
        <w:rPr>
          <w:b/>
          <w:sz w:val="22"/>
          <w:u w:val="single"/>
        </w:rPr>
      </w:pPr>
      <w:r>
        <w:rPr>
          <w:b/>
          <w:sz w:val="22"/>
          <w:u w:val="single"/>
        </w:rPr>
      </w:r>
    </w:p>
    <w:p>
      <w:pPr>
        <w:pStyle w:val="Normal"/>
        <w:spacing w:lineRule="exact" w:line="240"/>
        <w:ind w:end="180"/>
        <w:jc w:val="center"/>
        <w:rPr>
          <w:sz w:val="22"/>
        </w:rPr>
      </w:pPr>
      <w:r>
        <w:rPr>
          <w:sz w:val="22"/>
          <w:u w:val="single"/>
        </w:rPr>
        <w:t>Guaranty</w:t>
      </w:r>
    </w:p>
    <w:p>
      <w:pPr>
        <w:pStyle w:val="Normal"/>
        <w:spacing w:lineRule="exact" w:line="480"/>
        <w:jc w:val="both"/>
        <w:rPr>
          <w:sz w:val="22"/>
        </w:rPr>
      </w:pPr>
      <w:r>
        <w:rPr>
          <w:sz w:val="22"/>
        </w:rPr>
      </w:r>
    </w:p>
    <w:p>
      <w:pPr>
        <w:pStyle w:val="Normal"/>
        <w:spacing w:lineRule="atLeast" w:line="240"/>
        <w:ind w:firstLine="720" w:end="0"/>
        <w:jc w:val="both"/>
        <w:rPr/>
      </w:pPr>
      <w:r>
        <w:rPr>
          <w:sz w:val="22"/>
        </w:rPr>
        <w:t xml:space="preserve">This Guaranty (the “Guaranty”), dated as of </w:t>
      </w:r>
      <w:r>
        <w:rPr>
          <w:sz w:val="22"/>
          <w:u w:val="single"/>
        </w:rPr>
        <w:tab/>
        <w:tab/>
      </w:r>
      <w:r>
        <w:rPr>
          <w:sz w:val="22"/>
        </w:rPr>
        <w:t xml:space="preserve">, 2000, is made and entered into by </w:t>
      </w:r>
      <w:r>
        <w:rPr>
          <w:caps/>
          <w:sz w:val="22"/>
        </w:rPr>
        <w:t>Enron Corp.</w:t>
      </w:r>
      <w:r>
        <w:rPr>
          <w:sz w:val="22"/>
        </w:rPr>
        <w:t>, an Oregon corporation (“Guarantor”).</w:t>
      </w:r>
    </w:p>
    <w:p>
      <w:pPr>
        <w:pStyle w:val="Normal"/>
        <w:keepNext w:val="true"/>
        <w:spacing w:lineRule="exact" w:line="240" w:before="480" w:after="0"/>
        <w:jc w:val="center"/>
        <w:rPr>
          <w:b/>
          <w:caps/>
          <w:sz w:val="22"/>
        </w:rPr>
      </w:pPr>
      <w:r>
        <w:rPr>
          <w:b/>
          <w:caps/>
          <w:sz w:val="22"/>
        </w:rPr>
        <w:t>W I T N E S S E T H:</w:t>
      </w:r>
    </w:p>
    <w:p>
      <w:pPr>
        <w:pStyle w:val="Normal"/>
        <w:spacing w:lineRule="atLeast" w:line="240"/>
        <w:jc w:val="both"/>
        <w:rPr>
          <w:b/>
          <w:caps/>
          <w:sz w:val="22"/>
        </w:rPr>
      </w:pPr>
      <w:r>
        <w:rPr>
          <w:b/>
          <w:caps/>
          <w:sz w:val="22"/>
        </w:rPr>
      </w:r>
    </w:p>
    <w:p>
      <w:pPr>
        <w:pStyle w:val="Normal"/>
        <w:spacing w:lineRule="atLeast" w:line="240"/>
        <w:ind w:firstLine="720" w:end="0"/>
        <w:jc w:val="both"/>
        <w:rPr>
          <w:sz w:val="22"/>
        </w:rPr>
      </w:pPr>
      <w:r>
        <w:rPr>
          <w:sz w:val="22"/>
        </w:rPr>
        <w:t xml:space="preserve">WHEREAS, DEUTSCHE BANK AG, a banking corporation organized under the laws of the Federal Republic of Germany (“Counterparty”) and ENRON NORTH AMERICA CORP. (“Enron”), a wholly owned subsidiary of Guarantor, are contemplating entering into one or more swap, option or other financially-settled derivative transactions, which transactions will be evidenced by one or more swap agreements, confirmations and/or master agreements, including without limitation, the Master Agreement of even date herewith (the “Master Agreement”) (all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Guarantor will directly or indirectly benefit from the transactions to be entered into between Enron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NOW THEREFORE, in consideration of Counterparty entering into the Contract, Guarantor hereby covenants and agrees as follows: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1.  </w:t>
      </w:r>
      <w:r>
        <w:rPr>
          <w:sz w:val="22"/>
          <w:u w:val="single"/>
        </w:rPr>
        <w:t>GUARANTY</w:t>
      </w:r>
      <w:r>
        <w:rPr>
          <w:sz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Guarantor’s obligations hereunder shall not be affected by the genuineness, validity, regularity or enforceability of the Obligations or any instrument evidencing the Obligations, or by the existence, validity, enforceability, perfection or extent of any collateral therefor or subject to Section 4 herein, by any other event, occurrence or circumstance which might otherwise constitute a legal or equitable discharge or defense of a guarantor or surety.  Counterpary makes no representation or warranty in respect of any such circumstance and has no duty or responsibility whatsoever to the Guarantor in respect of the management and maintenance of the Obligations or any collateral therefor.  Counterparty shall not be obligated to file any claim relating to the Obligations in the event that Enron becomes subject to a bankruptcy, reorganization or similar proceeding, and the failure of Counterparty so to file shall not affect the Guarantor’s obligations hereunder.  In the event that any payment of Enron in respect of any Obligations is rescinded or must otherwise be returned for any reason whatsoever, the Guarantor shall remain liable hereunder in respect to such Obligations as if such payment had not been made.  The liability of Guarantor under the Guaranty shall be subject to the following:</w:t>
      </w:r>
    </w:p>
    <w:p>
      <w:pPr>
        <w:pStyle w:val="BodyTextIndent3"/>
        <w:widowControl w:val="false"/>
        <w:spacing w:lineRule="exact" w:line="240"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special, punitive, incidental, consequential, exemplary, equitable, or indirect damages.</w:t>
      </w:r>
    </w:p>
    <w:p>
      <w:pPr>
        <w:pStyle w:val="BodyTextIndent3"/>
        <w:spacing w:lineRule="exact" w:line="240" w:before="240" w:after="0"/>
        <w:rPr/>
      </w:pPr>
      <w:r>
        <w:rPr/>
        <w:t>(b)  The aggregate amount covered by this Guaranty shall not exceed U.S. $30,000,000.</w:t>
      </w:r>
    </w:p>
    <w:p>
      <w:pPr>
        <w:pStyle w:val="Normal"/>
        <w:spacing w:lineRule="atLeast" w:line="240"/>
        <w:jc w:val="both"/>
        <w:rPr>
          <w:sz w:val="22"/>
        </w:rPr>
      </w:pPr>
      <w:r>
        <w:rPr>
          <w:sz w:val="22"/>
        </w:rPr>
      </w:r>
    </w:p>
    <w:p>
      <w:pPr>
        <w:pStyle w:val="Normal"/>
        <w:spacing w:lineRule="atLeast" w:line="240"/>
        <w:ind w:firstLine="720" w:end="0"/>
        <w:jc w:val="both"/>
        <w:rPr>
          <w:sz w:val="22"/>
        </w:rPr>
      </w:pPr>
      <w:r>
        <w:rPr>
          <w:sz w:val="22"/>
        </w:rPr>
        <w:t xml:space="preserve">2.  </w:t>
      </w:r>
      <w:r>
        <w:rPr>
          <w:sz w:val="22"/>
          <w:u w:val="single"/>
        </w:rPr>
        <w:t>DEMANDS AND NOTICE</w:t>
      </w:r>
      <w:r>
        <w:rPr>
          <w:sz w:val="22"/>
        </w:rPr>
        <w:t xml:space="preserve">.  </w:t>
      </w:r>
      <w:r>
        <w:rPr>
          <w:color w:val="000000"/>
          <w:sz w:val="22"/>
          <w:szCs w:val="22"/>
        </w:rPr>
        <w:t>Upon the occurrence and during the continuation of an Event of Default or Termination Event, if Enron fails or refuses to pay any Obligations and Counterparty has elected to exercise its rights under this Guaranty, Counterparty shall make a demand upon Guarantor (hereinafter referred to as a "Payment Demand").  A Payment Demand shall be in writing with a specific statement that Counterparty is calling upon Guarantor to pay under this Guaranty.  Payment shall be made promptly, but in no event more than two (2) business days after receipt of the Payment Demand by Guarantor.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spacing w:lineRule="atLeast" w:line="240"/>
        <w:ind w:firstLine="720" w:end="0"/>
        <w:jc w:val="both"/>
        <w:rPr>
          <w:sz w:val="22"/>
        </w:rPr>
      </w:pPr>
      <w:r>
        <w:rPr>
          <w:sz w:val="22"/>
        </w:rPr>
      </w:r>
    </w:p>
    <w:p>
      <w:pPr>
        <w:pStyle w:val="Normal"/>
        <w:keepNext w:val="true"/>
        <w:spacing w:lineRule="atLeast" w:line="240"/>
        <w:ind w:firstLine="720" w:end="0"/>
        <w:jc w:val="both"/>
        <w:rPr/>
      </w:pPr>
      <w:r>
        <w:rPr>
          <w:sz w:val="22"/>
        </w:rPr>
        <w:t xml:space="preserve">3.  </w:t>
      </w:r>
      <w:r>
        <w:rPr>
          <w:sz w:val="22"/>
          <w:u w:val="single"/>
        </w:rPr>
        <w:t>REPRESENTATIONS AND WARRANTIES</w:t>
      </w:r>
      <w:r>
        <w:rPr>
          <w:sz w:val="22"/>
        </w:rPr>
        <w:t>.  Guarantor represents and warrants that:</w:t>
      </w:r>
    </w:p>
    <w:p>
      <w:pPr>
        <w:pStyle w:val="Normal"/>
        <w:keepNext w:val="true"/>
        <w:spacing w:lineRule="exact" w:line="240" w:before="240" w:after="0"/>
        <w:ind w:firstLine="630" w:start="810" w:end="0"/>
        <w:jc w:val="both"/>
        <w:rPr>
          <w:sz w:val="22"/>
        </w:rPr>
      </w:pPr>
      <w:r>
        <w:rPr>
          <w:sz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rPr>
      </w:pPr>
      <w:r>
        <w:rPr>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rPr>
      </w:pPr>
      <w:r>
        <w:rPr>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4.  </w:t>
      </w:r>
      <w:r>
        <w:rPr>
          <w:sz w:val="22"/>
          <w:u w:val="single"/>
        </w:rPr>
        <w:t>SETOFFS AND COUNTERCLAIMS</w:t>
      </w:r>
      <w:r>
        <w:rPr>
          <w:sz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 but only to the extent that Guarantor would have been entitled to assert or exercise such rights, setoffs, counterclaims and other defenses had it been the counterparty under the Contract.</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5.</w:t>
        <w:tab/>
      </w:r>
      <w:r>
        <w:rPr>
          <w:sz w:val="22"/>
          <w:u w:val="single"/>
        </w:rPr>
        <w:t>SUBROGATION</w:t>
      </w:r>
      <w:r>
        <w:rPr>
          <w:sz w:val="22"/>
        </w:rPr>
        <w:t>.  The Guarantor will not exercise any rights which it may acquire by way of subrogation until all Obligations to Counterparty shall have been paid in full.  Subject to the foregoing, upon payment of all the Obligations, Guarantor shall be subrogated to the rights of Counterparty against Enron, and Counterparty agrees to take at the Guarantor’s expense such steps as the Guarantor may reasonably request to implement such subrogation.</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6.  </w:t>
      </w:r>
      <w:r>
        <w:rPr>
          <w:sz w:val="22"/>
          <w:u w:val="single"/>
        </w:rPr>
        <w:t>AMENDMENT OF GUARANTY</w:t>
      </w:r>
      <w:r>
        <w:rPr>
          <w:sz w:val="22"/>
        </w:rPr>
        <w:t>.  No term or provision of this Guaranty shall be amended, modified, altered, waived or supplemented except in a writing signed by Guarantor and Counterparty.  Neither the Guarantor nor the Counterparty may assign its rights, interest or obligations hereunder to any other person without the prior written consent of the Guarantor or the Counterparty, as the case may be; provided that the Counterparty may assign its rights hereunder to any permitted transferee of the Contract without the consent of Guarantor.</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7.  </w:t>
      </w:r>
      <w:r>
        <w:rPr>
          <w:sz w:val="22"/>
          <w:u w:val="single"/>
        </w:rPr>
        <w:t>WAIVERS</w:t>
      </w:r>
      <w:r>
        <w:rPr>
          <w:sz w:val="22"/>
        </w:rPr>
        <w:t>.  Guarantor hereby waives (a) notice of acceptance of this Guaranty; (b) presentment and demand concerning the liabilities of Guarantor, except as expressly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consents to the renewal, compromise, extension, acceleration or other changes in the time of payment of or other changes in the terms of the Obligations, including the exchange or surrender of collateral, or any part thereof or any changes or modifications to the terms of the Contract.</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ten (10)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8.  </w:t>
      </w:r>
      <w:r>
        <w:rPr>
          <w:sz w:val="22"/>
          <w:u w:val="single"/>
        </w:rPr>
        <w:t>NOTICE</w:t>
      </w:r>
      <w:r>
        <w:rPr>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rPr>
      </w:pPr>
      <w:r>
        <w:rPr>
          <w:sz w:val="22"/>
        </w:rPr>
      </w:r>
    </w:p>
    <w:tbl>
      <w:tblPr>
        <w:tblW w:w="10548" w:type="dxa"/>
        <w:jc w:val="start"/>
        <w:tblInd w:w="0" w:type="dxa"/>
        <w:tblLayout w:type="fixed"/>
        <w:tblCellMar>
          <w:top w:w="0" w:type="dxa"/>
          <w:start w:w="108" w:type="dxa"/>
          <w:bottom w:w="0" w:type="dxa"/>
          <w:end w:w="108" w:type="dxa"/>
        </w:tblCellMar>
      </w:tblPr>
      <w:tblGrid>
        <w:gridCol w:w="1908"/>
        <w:gridCol w:w="3492"/>
        <w:gridCol w:w="1618"/>
        <w:gridCol w:w="3530"/>
      </w:tblGrid>
      <w:tr>
        <w:trPr/>
        <w:tc>
          <w:tcPr>
            <w:tcW w:w="1908" w:type="dxa"/>
            <w:tcBorders/>
          </w:tcPr>
          <w:p>
            <w:pPr>
              <w:pStyle w:val="Normal"/>
              <w:keepNext w:val="true"/>
              <w:keepLines/>
              <w:spacing w:lineRule="atLeast" w:line="240"/>
              <w:rPr>
                <w:color w:val="000000"/>
                <w:sz w:val="22"/>
              </w:rPr>
            </w:pPr>
            <w:r>
              <w:rPr>
                <w:color w:val="000000"/>
                <w:sz w:val="22"/>
              </w:rPr>
              <w:t>To Counterparty:</w:t>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u w:val="single"/>
              </w:rPr>
              <w:tab/>
            </w:r>
          </w:p>
        </w:tc>
        <w:tc>
          <w:tcPr>
            <w:tcW w:w="1618" w:type="dxa"/>
            <w:tcBorders/>
          </w:tcPr>
          <w:p>
            <w:pPr>
              <w:pStyle w:val="Normal"/>
              <w:keepNext w:val="true"/>
              <w:keepLines/>
              <w:spacing w:lineRule="atLeast" w:line="240"/>
              <w:rPr>
                <w:color w:val="000000"/>
                <w:sz w:val="22"/>
              </w:rPr>
            </w:pPr>
            <w:r>
              <w:rPr>
                <w:color w:val="000000"/>
                <w:sz w:val="22"/>
              </w:rPr>
              <w:t>To Guarantor:</w:t>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Enron Corp.</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u w:val="single"/>
              </w:rPr>
              <w:tab/>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1400 Smith Street</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u w:val="single"/>
              </w:rPr>
              <w:tab/>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Houston, Texas  77002</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pPr>
            <w:r>
              <w:rPr>
                <w:color w:val="000000"/>
                <w:sz w:val="22"/>
              </w:rPr>
              <w:t xml:space="preserve">Attn.:  </w:t>
            </w:r>
            <w:r>
              <w:rPr>
                <w:color w:val="000000"/>
                <w:sz w:val="22"/>
                <w:u w:val="single"/>
              </w:rPr>
              <w:tab/>
            </w:r>
          </w:p>
          <w:p>
            <w:pPr>
              <w:pStyle w:val="Normal"/>
              <w:keepNext w:val="true"/>
              <w:keepLines/>
              <w:tabs>
                <w:tab w:val="clear" w:pos="720"/>
                <w:tab w:val="left" w:pos="3132" w:leader="none"/>
              </w:tabs>
              <w:spacing w:lineRule="atLeast" w:line="240"/>
              <w:rPr>
                <w:color w:val="000000"/>
                <w:sz w:val="22"/>
              </w:rPr>
            </w:pPr>
            <w:r>
              <w:rPr>
                <w:color w:val="000000"/>
                <w:sz w:val="22"/>
              </w:rPr>
              <w:t xml:space="preserve">Fax No.:  </w:t>
            </w:r>
            <w:r>
              <w:rPr>
                <w:color w:val="000000"/>
                <w:sz w:val="22"/>
                <w:u w:val="single"/>
              </w:rPr>
              <w:tab/>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Attn.:  Vice President, Finance and Treasurer</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napToGrid w:val="false"/>
              <w:spacing w:lineRule="atLeast" w:line="240"/>
              <w:rPr>
                <w:color w:val="000000"/>
                <w:sz w:val="22"/>
              </w:rPr>
            </w:pPr>
            <w:r>
              <w:rPr>
                <w:color w:val="000000"/>
                <w:sz w:val="22"/>
              </w:rPr>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Fax No.:  (713) 646-3422</w:t>
            </w:r>
          </w:p>
        </w:tc>
      </w:tr>
    </w:tbl>
    <w:p>
      <w:pPr>
        <w:pStyle w:val="Normal"/>
        <w:tabs>
          <w:tab w:val="clear" w:pos="720"/>
          <w:tab w:val="left" w:pos="2880" w:leader="none"/>
          <w:tab w:val="left" w:pos="6480" w:leader="none"/>
        </w:tabs>
        <w:spacing w:lineRule="exact" w:line="240"/>
        <w:ind w:start="720" w:end="0"/>
        <w:jc w:val="both"/>
        <w:rPr>
          <w:sz w:val="22"/>
        </w:rPr>
      </w:pPr>
      <w:r>
        <w:rPr>
          <w:sz w:val="22"/>
        </w:rPr>
      </w:r>
    </w:p>
    <w:p>
      <w:pPr>
        <w:pStyle w:val="Normal"/>
        <w:spacing w:lineRule="atLeast" w:line="240"/>
        <w:jc w:val="both"/>
        <w:rPr>
          <w:sz w:val="22"/>
        </w:rPr>
      </w:pPr>
      <w:r>
        <w:rPr>
          <w:sz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 w:val="22"/>
        </w:rPr>
      </w:pPr>
      <w:r>
        <w:rPr>
          <w:sz w:val="22"/>
        </w:rPr>
      </w:r>
    </w:p>
    <w:p>
      <w:pPr>
        <w:pStyle w:val="Normal"/>
        <w:spacing w:lineRule="atLeast" w:line="240"/>
        <w:ind w:firstLine="720" w:end="0"/>
        <w:jc w:val="both"/>
        <w:rPr>
          <w:sz w:val="22"/>
        </w:rPr>
      </w:pPr>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9.  </w:t>
      </w:r>
      <w:r>
        <w:rPr>
          <w:sz w:val="22"/>
          <w:u w:val="single"/>
        </w:rPr>
        <w:t>MISCELLANEOUS</w:t>
      </w:r>
      <w:r>
        <w:rPr>
          <w:sz w:val="22"/>
        </w:rPr>
        <w:t>.  This Guaranty shall in all respects be governed by, and construed in accordance with, the law of the State of New York, without regard to principles of conflicts of laws.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r>
        <w:br w:type="page"/>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IN WITNESS WHEREOF, the Guarantor has executed this Guaranty on </w:t>
        <w:tab/>
      </w:r>
      <w:r>
        <w:rPr>
          <w:sz w:val="22"/>
          <w:u w:val="single"/>
        </w:rPr>
        <w:tab/>
      </w:r>
      <w:r>
        <w:rPr>
          <w:sz w:val="22"/>
        </w:rPr>
        <w:t>, 2000, but it is effective as of the date first above written.</w:t>
      </w:r>
    </w:p>
    <w:p>
      <w:pPr>
        <w:pStyle w:val="Normal"/>
        <w:spacing w:lineRule="atLeast" w:line="240"/>
        <w:ind w:firstLine="720" w:end="0"/>
        <w:jc w:val="both"/>
        <w:rPr>
          <w:sz w:val="22"/>
        </w:rPr>
      </w:pPr>
      <w:r>
        <w:rPr>
          <w:sz w:val="22"/>
        </w:rPr>
      </w:r>
    </w:p>
    <w:p>
      <w:pPr>
        <w:pStyle w:val="Normal"/>
        <w:spacing w:lineRule="atLeast" w:line="240"/>
        <w:ind w:start="5040" w:end="0"/>
        <w:jc w:val="both"/>
        <w:rPr>
          <w:b/>
          <w:sz w:val="22"/>
        </w:rPr>
      </w:pPr>
      <w:r>
        <w:rPr>
          <w:b/>
          <w:sz w:val="22"/>
        </w:rPr>
        <w:t>ENRON CORP.</w:t>
      </w:r>
    </w:p>
    <w:p>
      <w:pPr>
        <w:pStyle w:val="Normal"/>
        <w:spacing w:lineRule="atLeast" w:line="240"/>
        <w:ind w:start="5040" w:end="0"/>
        <w:jc w:val="both"/>
        <w:rPr>
          <w:b/>
          <w:sz w:val="22"/>
        </w:rPr>
      </w:pPr>
      <w:r>
        <w:rPr>
          <w:b/>
          <w:sz w:val="22"/>
        </w:rPr>
      </w:r>
    </w:p>
    <w:p>
      <w:pPr>
        <w:pStyle w:val="Normal"/>
        <w:spacing w:lineRule="atLeast" w:line="240"/>
        <w:ind w:start="5040" w:end="0"/>
        <w:jc w:val="both"/>
        <w:rPr>
          <w:b/>
          <w:sz w:val="22"/>
        </w:rPr>
      </w:pPr>
      <w:r>
        <w:rPr>
          <w:b/>
          <w:sz w:val="22"/>
        </w:rPr>
      </w:r>
    </w:p>
    <w:p>
      <w:pPr>
        <w:pStyle w:val="Normal"/>
        <w:spacing w:lineRule="atLeast" w:line="240"/>
        <w:ind w:start="5040" w:end="0"/>
        <w:jc w:val="both"/>
        <w:rPr>
          <w:sz w:val="22"/>
        </w:rPr>
      </w:pPr>
      <w:r>
        <w:rPr>
          <w:sz w:val="22"/>
        </w:rPr>
        <w:t xml:space="preserve">By:  </w:t>
      </w:r>
      <w:r>
        <w:rPr>
          <w:sz w:val="22"/>
          <w:u w:val="single"/>
        </w:rPr>
        <w:tab/>
        <w:tab/>
        <w:tab/>
        <w:tab/>
        <w:tab/>
        <w:tab/>
      </w:r>
    </w:p>
    <w:p>
      <w:pPr>
        <w:pStyle w:val="Normal"/>
        <w:spacing w:lineRule="atLeast" w:line="240"/>
        <w:ind w:start="5040" w:end="0"/>
        <w:jc w:val="both"/>
        <w:rPr>
          <w:sz w:val="22"/>
        </w:rPr>
      </w:pPr>
      <w:r>
        <w:rPr>
          <w:sz w:val="22"/>
        </w:rPr>
        <w:t xml:space="preserve">Name:  </w:t>
      </w:r>
      <w:r>
        <w:rPr>
          <w:sz w:val="22"/>
          <w:u w:val="single"/>
        </w:rPr>
        <w:tab/>
        <w:tab/>
        <w:tab/>
        <w:tab/>
        <w:tab/>
        <w:tab/>
      </w:r>
    </w:p>
    <w:p>
      <w:pPr>
        <w:pStyle w:val="Normal"/>
        <w:spacing w:lineRule="atLeast" w:line="240"/>
        <w:ind w:start="5040" w:end="0"/>
        <w:jc w:val="both"/>
        <w:rPr>
          <w:sz w:val="22"/>
        </w:rPr>
      </w:pPr>
      <w:r>
        <w:rPr>
          <w:sz w:val="22"/>
        </w:rPr>
        <w:t xml:space="preserve">Title:  </w:t>
      </w:r>
      <w:r>
        <w:rPr>
          <w:sz w:val="22"/>
          <w:u w:val="single"/>
        </w:rPr>
        <w:tab/>
        <w:tab/>
        <w:tab/>
        <w:tab/>
        <w:tab/>
        <w:tab/>
      </w:r>
    </w:p>
    <w:p>
      <w:pPr>
        <w:pStyle w:val="Normal"/>
        <w:rPr>
          <w:sz w:val="22"/>
        </w:rPr>
      </w:pPr>
      <w:r>
        <w:rPr>
          <w:sz w:val="22"/>
        </w:rPr>
      </w:r>
    </w:p>
    <w:sectPr>
      <w:footerReference w:type="default" r:id="rId2"/>
      <w:type w:val="nextPage"/>
      <w:pgSz w:w="12240" w:h="15840"/>
      <w:pgMar w:left="1080" w:right="108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right" w:pos="8640" w:leader="none"/>
      </w:tabs>
      <w:ind w:end="360"/>
      <w:jc w:val="center"/>
      <w:rPr/>
    </w:pPr>
    <w:r>
      <w:rPr>
        <w:rFonts w:cs="Times New Roman" w:ascii="Times New Roman" w:hAnsi="Times New Roman"/>
      </w:rPr>
      <w:t xml:space="preserve">Page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4</w:t>
    </w:r>
    <w:r>
      <w:rPr>
        <w:rStyle w:val="PageNumber"/>
        <w:rFonts w:cs="Times New Roman" w:ascii="Times New Roman" w:hAnsi="Times New Roman"/>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ind w:hanging="0" w:start="0" w:end="180"/>
      <w:jc w:val="end"/>
      <w:outlineLvl w:val="0"/>
    </w:pPr>
    <w:rPr>
      <w:b/>
      <w:sz w:val="22"/>
      <w:u w:val="single"/>
    </w:rPr>
  </w:style>
  <w:style w:type="character" w:styleId="DefaultParagraphFont">
    <w:name w:val="Default Paragraph Font"/>
    <w:qFormat/>
    <w:rPr/>
  </w:style>
  <w:style w:type="character" w:styleId="PageNumber">
    <w:name w:val="page number"/>
    <w:basedOn w:val="DefaultParagraphFont"/>
    <w:rPr>
      <w:rFonts w:ascii="Arial" w:hAnsi="Arial" w:cs="Arial"/>
      <w:sz w:val="20"/>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ind w:hanging="0" w:start="720" w:end="0"/>
      <w:jc w:val="both"/>
    </w:pPr>
    <w:rPr>
      <w:sz w:val="22"/>
    </w:rPr>
  </w:style>
  <w:style w:type="paragraph" w:styleId="Footer">
    <w:name w:val="footer"/>
    <w:basedOn w:val="Normal"/>
    <w:pPr>
      <w:widowControl w:val="false"/>
      <w:tabs>
        <w:tab w:val="clear" w:pos="720"/>
        <w:tab w:val="center" w:pos="4320" w:leader="none"/>
        <w:tab w:val="right" w:pos="8640" w:leader="none"/>
      </w:tabs>
    </w:pPr>
    <w:rPr>
      <w:rFonts w:ascii="Arial" w:hAnsi="Arial" w:cs="Arial"/>
    </w:rPr>
  </w:style>
  <w:style w:type="paragraph" w:styleId="FootnoteText">
    <w:name w:val="footnote text"/>
    <w:basedOn w:val="Normal"/>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2000-10-30T16:47:00Z</dcterms:created>
  <dc:creator>tjones</dc:creator>
  <dc:description/>
  <dc:language>en-CA</dc:language>
  <cp:lastModifiedBy>tjones</cp:lastModifiedBy>
  <cp:lastPrinted>2000-06-27T09:49:00Z</cp:lastPrinted>
  <dcterms:modified xsi:type="dcterms:W3CDTF">2000-10-30T16:51:00Z</dcterms:modified>
  <cp:revision>6</cp:revision>
  <dc:subject/>
  <dc:title>EXHIBIT A</dc:title>
</cp:coreProperties>
</file>