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t>To:</w:t>
        <w:tab/>
        <w:tab/>
        <w:tab/>
        <w:tab/>
        <w:t>Deseret Generation &amp; Transmission (“Counterparty”)</w:t>
      </w:r>
    </w:p>
    <w:p>
      <w:pPr>
        <w:pStyle w:val="Normal"/>
        <w:rPr>
          <w:sz w:val="22"/>
        </w:rPr>
      </w:pPr>
      <w:r>
        <w:rPr>
          <w:sz w:val="22"/>
        </w:rPr>
        <w:t>Attention:</w:t>
        <w:tab/>
        <w:tab/>
        <w:tab/>
        <w:t>Curt Winterfeld</w:t>
      </w:r>
    </w:p>
    <w:p>
      <w:pPr>
        <w:pStyle w:val="Normal"/>
        <w:rPr>
          <w:sz w:val="22"/>
        </w:rPr>
      </w:pPr>
      <w:r>
        <w:rPr>
          <w:sz w:val="22"/>
        </w:rPr>
        <w:t>Fax No.:</w:t>
        <w:tab/>
        <w:tab/>
        <w:tab/>
        <w:t>(801) 619-6599</w:t>
      </w:r>
      <w:r>
        <w:rPr>
          <w:sz w:val="22"/>
        </w:rPr>
        <w:fldChar w:fldCharType="begin"/>
      </w:r>
      <w:r>
        <w:rPr>
          <w:sz w:val="22"/>
        </w:rPr>
        <w:instrText xml:space="preserve"> MERGEFIELD CounterpartyFax </w:instrText>
      </w:r>
      <w:r>
        <w:rPr>
          <w:sz w:val="22"/>
        </w:rPr>
        <w:fldChar w:fldCharType="separate"/>
      </w:r>
      <w:r>
        <w:rPr>
          <w:sz w:val="22"/>
        </w:rPr>
      </w:r>
      <w:r>
        <w:rPr>
          <w:sz w:val="22"/>
        </w:rPr>
        <w:fldChar w:fldCharType="end"/>
      </w:r>
    </w:p>
    <w:p>
      <w:pPr>
        <w:pStyle w:val="Normal"/>
        <w:rPr>
          <w:sz w:val="22"/>
        </w:rPr>
      </w:pPr>
      <w:r>
        <w:rPr>
          <w:sz w:val="22"/>
        </w:rPr>
        <w:t>From:</w:t>
        <w:tab/>
        <w:tab/>
        <w:tab/>
        <w:tab/>
        <w:t>Enron North America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jc w:val="both"/>
              <w:rPr/>
            </w:pPr>
            <w:r>
              <w:rPr>
                <w:sz w:val="22"/>
              </w:rPr>
              <w:t>Subject to the limitations set forth in the section titled “Special Conditions,” the quantity shall be 100</w:t>
            </w:r>
            <w:r>
              <w:rPr/>
              <w:t xml:space="preserve"> </w:t>
            </w:r>
            <w:r>
              <w:rPr>
                <w:sz w:val="22"/>
              </w:rPr>
              <w:t>MWs per hour for each On-Peak Hour during Q1-Q3 of the Determination Period and 50</w:t>
            </w:r>
            <w:r>
              <w:rPr/>
              <w:t xml:space="preserve"> </w:t>
            </w:r>
            <w:r>
              <w:rPr>
                <w:sz w:val="22"/>
              </w:rPr>
              <w:t>MWs per hour for each On-Peak Hour during Q4 of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 xml:space="preserve">MWh (Megawatt hours)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January 1, 2002</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December 31, 2002</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 xml:space="preserve">Each calendar month beginning with January 1, 2002 and ending on December 31, 2002 </w:t>
            </w:r>
          </w:p>
        </w:tc>
      </w:tr>
    </w:tbl>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The fifth (5</w:t>
            </w:r>
            <w:r>
              <w:rPr>
                <w:sz w:val="22"/>
                <w:vertAlign w:val="superscript"/>
              </w:rPr>
              <w:t>th</w:t>
            </w:r>
            <w:r>
              <w:rPr>
                <w:sz w:val="22"/>
              </w:rPr>
              <w:t xml:space="preserve">) Business Day following the date on which the Floating Price is determinable for the preceding month.  </w:t>
            </w:r>
            <w:r>
              <w:rPr>
                <w:sz w:val="22"/>
              </w:rPr>
              <w:fldChar w:fldCharType="begin"/>
            </w:r>
            <w:r>
              <w:rPr>
                <w:sz w:val="22"/>
              </w:rPr>
              <w:instrText xml:space="preserve"> MERGEFIELD PaymentDates </w:instrText>
            </w:r>
            <w:r>
              <w:rPr>
                <w:sz w:val="22"/>
              </w:rPr>
              <w:fldChar w:fldCharType="separate"/>
            </w:r>
            <w:r>
              <w:rPr>
                <w:sz w:val="22"/>
              </w:rPr>
            </w:r>
            <w:r>
              <w:rPr>
                <w:sz w:val="22"/>
              </w:rPr>
              <w:fldChar w:fldCharType="end"/>
            </w:r>
          </w:p>
        </w:tc>
      </w:tr>
    </w:tbl>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 xml:space="preserve"> </w:t>
      </w:r>
    </w:p>
    <w:p>
      <w:pPr>
        <w:pStyle w:val="Normal"/>
        <w:rPr>
          <w:b/>
          <w:sz w:val="22"/>
        </w:rPr>
      </w:pPr>
      <w:r>
        <w:rPr>
          <w:b/>
          <w:sz w:val="22"/>
        </w:rPr>
      </w:r>
    </w:p>
    <w:p>
      <w:pPr>
        <w:pStyle w:val="Normal"/>
        <w:rPr>
          <w:b/>
          <w:sz w:val="22"/>
        </w:rPr>
      </w:pPr>
      <w:r>
        <w:rPr>
          <w:b/>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t>ENA</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t>Fixed Price:</w:t>
            </w:r>
          </w:p>
        </w:tc>
        <w:tc>
          <w:tcPr>
            <w:tcW w:w="6102" w:type="dxa"/>
            <w:tcBorders/>
          </w:tcPr>
          <w:tbl>
            <w:tblPr>
              <w:tblW w:w="2587" w:type="dxa"/>
              <w:jc w:val="start"/>
              <w:tblInd w:w="21" w:type="dxa"/>
              <w:tblLayout w:type="fixed"/>
              <w:tblCellMar>
                <w:top w:w="0" w:type="dxa"/>
                <w:start w:w="30" w:type="dxa"/>
                <w:bottom w:w="0" w:type="dxa"/>
                <w:end w:w="30" w:type="dxa"/>
              </w:tblCellMar>
            </w:tblPr>
            <w:tblGrid>
              <w:gridCol w:w="1135"/>
              <w:gridCol w:w="1452"/>
            </w:tblGrid>
            <w:tr>
              <w:trPr/>
              <w:tc>
                <w:tcPr>
                  <w:tcW w:w="1135" w:type="dxa"/>
                  <w:tcBorders>
                    <w:top w:val="single" w:sz="12"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Month</w:t>
                  </w:r>
                </w:p>
              </w:tc>
              <w:tc>
                <w:tcPr>
                  <w:tcW w:w="1452" w:type="dxa"/>
                  <w:tcBorders>
                    <w:top w:val="single" w:sz="12"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cs="Arial" w:ascii="Arial" w:hAnsi="Arial"/>
                      <w:color w:val="000000"/>
                      <w:sz w:val="20"/>
                    </w:rPr>
                    <w:t>Baseline Price</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1/1/02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26.25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2/1/02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25.75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3/1/02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25.25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4/1/02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25.00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5/1/02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29.00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6/1/02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37.00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7/1/02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42.25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8/1/02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51.50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9/1/02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41.75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10/1/02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30.00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11/1/02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28.50 </w:t>
                  </w:r>
                </w:p>
              </w:tc>
            </w:tr>
            <w:tr>
              <w:trPr/>
              <w:tc>
                <w:tcPr>
                  <w:tcW w:w="1135" w:type="dxa"/>
                  <w:tcBorders>
                    <w:top w:val="single" w:sz="6" w:space="0" w:color="000000"/>
                    <w:start w:val="single" w:sz="12" w:space="0" w:color="000000"/>
                    <w:bottom w:val="single" w:sz="12"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12/1/02</w:t>
                  </w:r>
                </w:p>
              </w:tc>
              <w:tc>
                <w:tcPr>
                  <w:tcW w:w="1452" w:type="dxa"/>
                  <w:tcBorders>
                    <w:top w:val="single" w:sz="6" w:space="0" w:color="000000"/>
                    <w:start w:val="single" w:sz="6" w:space="0" w:color="000000"/>
                    <w:bottom w:val="single" w:sz="12"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29.25 </w:t>
                  </w:r>
                </w:p>
              </w:tc>
            </w:tr>
          </w:tbl>
          <w:p>
            <w:pPr>
              <w:pStyle w:val="Normal"/>
              <w:jc w:val="both"/>
              <w:rPr>
                <w:sz w:val="22"/>
              </w:rPr>
            </w:pPr>
            <w:r>
              <w:rPr>
                <w:sz w:val="22"/>
              </w:rPr>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t>Counterparty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rPr/>
            </w:pPr>
            <w:r>
              <w:rPr/>
              <w:t xml:space="preserve">Palo Verde On-Peak:  The Floating Price during a Determination Period shall be the average of the daily day-ahead prices listed in the Index for power delivered during Peak hours on each Delivery Day during the applicable Determination Period.  The Floating Price  shall be calculated utilizing the Dow Jones Palo Verde Electricity Price Index entitled “DJ-PV Daily Index: Firm On-Peak: Index" as published by Dow Jones Telerate (Telerate page 38422) (the “Index”).  </w:t>
            </w:r>
          </w:p>
          <w:p>
            <w:pPr>
              <w:pStyle w:val="Normal"/>
              <w:jc w:val="both"/>
              <w:rPr>
                <w:sz w:val="22"/>
              </w:rPr>
            </w:pPr>
            <w:r>
              <w:rPr>
                <w:sz w:val="22"/>
              </w:rPr>
            </w:r>
          </w:p>
          <w:p>
            <w:pPr>
              <w:pStyle w:val="Normal"/>
              <w:jc w:val="both"/>
              <w:rPr>
                <w:sz w:val="22"/>
              </w:rPr>
            </w:pPr>
            <w:r>
              <w:rPr>
                <w:sz w:val="22"/>
              </w:rPr>
              <w:t xml:space="preserve"> </w:t>
            </w:r>
          </w:p>
        </w:tc>
      </w:tr>
      <w:tr>
        <w:trPr/>
        <w:tc>
          <w:tcPr>
            <w:tcW w:w="4338" w:type="dxa"/>
            <w:tcBorders/>
          </w:tcPr>
          <w:p>
            <w:pPr>
              <w:pStyle w:val="Normal"/>
              <w:rPr>
                <w:b/>
                <w:bCs/>
                <w:sz w:val="22"/>
              </w:rPr>
            </w:pPr>
            <w:r>
              <w:rPr>
                <w:b/>
                <w:bCs/>
                <w:sz w:val="22"/>
              </w:rPr>
              <w:t>Special Conditions:</w:t>
            </w:r>
          </w:p>
        </w:tc>
        <w:tc>
          <w:tcPr>
            <w:tcW w:w="6102" w:type="dxa"/>
            <w:tcBorders/>
          </w:tcPr>
          <w:p>
            <w:pPr>
              <w:pStyle w:val="Normal"/>
              <w:jc w:val="both"/>
              <w:rPr>
                <w:sz w:val="22"/>
              </w:rPr>
            </w:pPr>
            <w:r>
              <w:rPr>
                <w:sz w:val="22"/>
              </w:rPr>
              <w:t xml:space="preserve">1.  The Fixed Price and the Floating Price shall be paid during each On-Peak Hour during the Determination Period that the Bonanza Unit 1 (“Bonanza”) output is not curtailed or interrupted due to an Unplanned Outage or Unplanned Derating.  The Fixed Price and the Floating Price shall also be paid during each On-Peak Hour of the first day that an Unplanned Outage or Unplanned Derating occurs.  </w:t>
            </w:r>
          </w:p>
          <w:p>
            <w:pPr>
              <w:pStyle w:val="Normal"/>
              <w:jc w:val="both"/>
              <w:rPr>
                <w:sz w:val="22"/>
              </w:rPr>
            </w:pPr>
            <w:r>
              <w:rPr>
                <w:sz w:val="22"/>
              </w:rPr>
            </w:r>
          </w:p>
          <w:p>
            <w:pPr>
              <w:pStyle w:val="Normal"/>
              <w:jc w:val="both"/>
              <w:rPr>
                <w:sz w:val="22"/>
              </w:rPr>
            </w:pPr>
            <w:r>
              <w:rPr>
                <w:sz w:val="22"/>
              </w:rPr>
              <w:t>2.  If a pro-rata reduction in output from the Bonanza occurs due to an Unplanned Outage or Unplanned Derating, both Parties agree to pay the Fixed and Floating Prices based on the pro-rata quantity.</w:t>
            </w:r>
          </w:p>
          <w:p>
            <w:pPr>
              <w:pStyle w:val="Normal"/>
              <w:jc w:val="both"/>
              <w:rPr>
                <w:sz w:val="22"/>
              </w:rPr>
            </w:pPr>
            <w:r>
              <w:rPr>
                <w:sz w:val="22"/>
              </w:rPr>
            </w:r>
          </w:p>
          <w:p>
            <w:pPr>
              <w:pStyle w:val="Normal"/>
              <w:jc w:val="both"/>
              <w:rPr>
                <w:sz w:val="22"/>
              </w:rPr>
            </w:pPr>
            <w:r>
              <w:rPr>
                <w:sz w:val="22"/>
              </w:rPr>
              <w:t>3.  If the DJ-PV Daily Index: Firm On-Peak: Index is greater than the Baseline Price, Counterparty will receive 50% of the difference between the average DJ-PV Daily Index: Firm On-Peak: Index for each month less the Baseline Price set forth above multiplied by the number of hours in the month for which the Fixed and Floating Prices were paid.  The volume used to calculate this payment will be 100 MW for Q1-Q3 and 50 MW for Q4.  The formula shall be as follows:</w:t>
            </w:r>
          </w:p>
          <w:p>
            <w:pPr>
              <w:pStyle w:val="Normal"/>
              <w:jc w:val="both"/>
              <w:rPr>
                <w:sz w:val="22"/>
              </w:rPr>
            </w:pPr>
            <w:r>
              <w:rPr>
                <w:sz w:val="22"/>
              </w:rPr>
            </w:r>
          </w:p>
          <w:p>
            <w:pPr>
              <w:pStyle w:val="Normal"/>
              <w:jc w:val="both"/>
              <w:rPr>
                <w:sz w:val="22"/>
              </w:rPr>
            </w:pPr>
            <w:r>
              <w:rPr>
                <w:sz w:val="22"/>
              </w:rPr>
              <w:t xml:space="preserve">50% * (average On-Peak Palo Verde Daily Dow Jones for Y month – Baseline Price for Y month) * volume * number of hours in month Y).  </w:t>
            </w:r>
          </w:p>
          <w:p>
            <w:pPr>
              <w:pStyle w:val="Normal"/>
              <w:jc w:val="both"/>
              <w:rPr>
                <w:sz w:val="22"/>
              </w:rPr>
            </w:pPr>
            <w:r>
              <w:rPr>
                <w:sz w:val="22"/>
              </w:rPr>
            </w:r>
          </w:p>
          <w:p>
            <w:pPr>
              <w:pStyle w:val="Normal"/>
              <w:jc w:val="both"/>
              <w:rPr/>
            </w:pPr>
            <w:r>
              <w:rPr>
                <w:b/>
                <w:bCs/>
                <w:sz w:val="22"/>
              </w:rPr>
              <w:t>Excluded Derates</w:t>
            </w:r>
            <w:r>
              <w:rPr>
                <w:sz w:val="22"/>
              </w:rPr>
              <w:t xml:space="preserve"> are generation derate events caused by the following:  (a) the gross negligence of Seller or its employees; (b) the intentional misconduct of Seller; or (c) compliance with any state or federal environmental laws or regulations, except to the extent that such generation derate event is due solely to a complete or partial failure of an installed system, major component, or piece of equipment to operate as designed or normally operated, which were enacted and in force as of the date of execution of this Confirmation Agreement.</w:t>
            </w:r>
          </w:p>
          <w:p>
            <w:pPr>
              <w:pStyle w:val="Normal"/>
              <w:jc w:val="both"/>
              <w:rPr>
                <w:sz w:val="22"/>
              </w:rPr>
            </w:pPr>
            <w:r>
              <w:rPr>
                <w:sz w:val="22"/>
              </w:rPr>
            </w:r>
          </w:p>
          <w:p>
            <w:pPr>
              <w:pStyle w:val="Normal"/>
              <w:jc w:val="both"/>
              <w:rPr/>
            </w:pPr>
            <w:r>
              <w:rPr>
                <w:b/>
                <w:bCs/>
                <w:sz w:val="22"/>
              </w:rPr>
              <w:t>Excluded Outages</w:t>
            </w:r>
            <w:r>
              <w:rPr>
                <w:sz w:val="22"/>
              </w:rPr>
              <w:t xml:space="preserve"> are generation outage events caused by the following:  (a) the gross negligence of Seller or its employees; (b) the intentional misconduct of Seller; or (c) compliance with any state or federal environmental laws or regulations, except to the extent that such generation outage event is due solely to a complete or partial failure of an installed system, major component, or piece of equipment to operate as designed or normally operated, which were enacted and in force as of the date of execution of this Confirmation Agreement.</w:t>
            </w:r>
          </w:p>
          <w:p>
            <w:pPr>
              <w:pStyle w:val="Normal"/>
              <w:jc w:val="both"/>
              <w:rPr>
                <w:sz w:val="22"/>
              </w:rPr>
            </w:pPr>
            <w:r>
              <w:rPr>
                <w:sz w:val="22"/>
              </w:rPr>
            </w:r>
          </w:p>
          <w:p>
            <w:pPr>
              <w:pStyle w:val="Normal"/>
              <w:jc w:val="both"/>
              <w:rPr/>
            </w:pPr>
            <w:r>
              <w:rPr>
                <w:b/>
                <w:bCs/>
                <w:sz w:val="22"/>
              </w:rPr>
              <w:t>Net Dependable Capacity</w:t>
            </w:r>
            <w:r>
              <w:rPr>
                <w:sz w:val="22"/>
              </w:rPr>
              <w:t xml:space="preserve"> of Bonanza is 465 MW (winter) and 462 MW (summer), which amounts may be changed from time to time by Counterparty in accordance with practices and requirements of the Western Systems Coordinating Council.</w:t>
            </w:r>
          </w:p>
          <w:p>
            <w:pPr>
              <w:pStyle w:val="Normal"/>
              <w:jc w:val="both"/>
              <w:rPr>
                <w:sz w:val="22"/>
              </w:rPr>
            </w:pPr>
            <w:r>
              <w:rPr>
                <w:sz w:val="22"/>
              </w:rPr>
            </w:r>
          </w:p>
          <w:p>
            <w:pPr>
              <w:pStyle w:val="Normal"/>
              <w:jc w:val="both"/>
              <w:rPr/>
            </w:pPr>
            <w:r>
              <w:rPr>
                <w:b/>
                <w:bCs/>
                <w:sz w:val="22"/>
              </w:rPr>
              <w:t>Unplanned Derating</w:t>
            </w:r>
            <w:r>
              <w:rPr>
                <w:sz w:val="22"/>
              </w:rPr>
              <w:t xml:space="preserve"> is a generation derating event or combination of concurrent events classified both in magnitude and duration as a D1, D2, D3 unplanned derating in the North American Electric Reliability Council’s Generating Availability Data System (the “NERC GADS”), during which Bonanza is not capable of producing net power or delivering power to its point of interconnection with the high-voltage transmission system at its Net Dependable Capacity less 20 MW.  An Unplanned Derating does not include any planned derating, as defined in the NERC GADS, nor any derating other than those enumerated above.  An Unplanned Derating shall be deemed  to have commenced at the top of the hour following the hour during which the generation derating event first occurred.  An Unplanned Derating will be deemed to have concluded at the top of the hour following the hour in which the generation derating event that caused the Unplanned Derating ends and Bonanza is capable of producing its Net Dependable Capacity less 20 MW.  An Unplanned Derating shall not include an Excluded Derate.  An Unplanned Derating shall affect price only and not firmness of delivery obligation.</w:t>
            </w:r>
          </w:p>
          <w:p>
            <w:pPr>
              <w:pStyle w:val="Normal"/>
              <w:jc w:val="both"/>
              <w:rPr>
                <w:sz w:val="22"/>
              </w:rPr>
            </w:pPr>
            <w:r>
              <w:rPr>
                <w:sz w:val="22"/>
              </w:rPr>
            </w:r>
          </w:p>
          <w:p>
            <w:pPr>
              <w:pStyle w:val="Normal"/>
              <w:jc w:val="both"/>
              <w:rPr/>
            </w:pPr>
            <w:r>
              <w:rPr>
                <w:b/>
                <w:bCs/>
                <w:sz w:val="22"/>
              </w:rPr>
              <w:t>Unplanned Outage</w:t>
            </w:r>
            <w:r>
              <w:rPr>
                <w:sz w:val="22"/>
              </w:rPr>
              <w:t xml:space="preserve"> is a generation outage event classified as a U1, U2, U3 or SF unplanned outage in the NERC GADS during which Bonanza is not capable of producing any net power or delivering power to its point of interconnection with the high voltage transmission system.  Unplanned outage does not include any planned outage, as defined in the NERC GADS.  An Unplanned Outage shall be deemed to have commenced at the top of the hour following the hour during which the generation outage event first occurred.  An Unplanned Outage will be deemed to have concluded at the top of the hour following the hour in which the generation outage event that caused the Unplanned Outage ends and Bonanza is capable of producing its Net Dependable Capacity less 20 MW.  An Unplanned Outage shall not include an Excluded Outage.  An Unplanned Outage shall affect price only and not firmness of delivery obligation.</w:t>
            </w:r>
          </w:p>
          <w:p>
            <w:pPr>
              <w:pStyle w:val="Normal"/>
              <w:jc w:val="both"/>
              <w:rPr>
                <w:sz w:val="22"/>
              </w:rPr>
            </w:pPr>
            <w:r>
              <w:rPr>
                <w:sz w:val="22"/>
              </w:rPr>
            </w:r>
          </w:p>
          <w:p>
            <w:pPr>
              <w:pStyle w:val="Normal"/>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 then the third (3</w:t>
            </w:r>
            <w:r>
              <w:rPr>
                <w:sz w:val="22"/>
                <w:vertAlign w:val="superscript"/>
              </w:rPr>
              <w:t>rd</w:t>
            </w:r>
            <w:r>
              <w:rPr>
                <w:sz w:val="22"/>
              </w:rPr>
              <w:t xml:space="preserve">) decimal number shall remain unchanged. </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ENA</w:t>
            </w:r>
          </w:p>
        </w:tc>
        <w:tc>
          <w:tcPr>
            <w:tcW w:w="6012" w:type="dxa"/>
            <w:tcBorders/>
          </w:tcPr>
          <w:p>
            <w:pPr>
              <w:pStyle w:val="Normal"/>
              <w:rPr>
                <w:sz w:val="22"/>
              </w:rPr>
            </w:pPr>
            <w:r>
              <w:rPr>
                <w:sz w:val="22"/>
              </w:rPr>
              <w:t xml:space="preserve">Deseret Generation &amp; Transmission Coop.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b w:val="false"/>
          <w:sz w:val="22"/>
        </w:rPr>
      </w:pPr>
      <w:r>
        <w:rPr>
          <w:b w:val="false"/>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 w:val="left" w:pos="810" w:leader="none"/>
          <w:tab w:val="left" w:pos="1170" w:leader="none"/>
        </w:tabs>
        <w:jc w:val="both"/>
        <w:rPr>
          <w:rFonts w:ascii="Arial Narrow" w:hAnsi="Arial Narrow" w:cs="Arial Narrow"/>
          <w:sz w:val="18"/>
        </w:rPr>
      </w:pPr>
      <w:r>
        <w:rPr>
          <w:rFonts w:cs="Arial Narrow" w:ascii="Arial Narrow" w:hAnsi="Arial Narrow"/>
          <w:b/>
          <w:sz w:val="18"/>
          <w:u w:val="single"/>
        </w:rPr>
        <w:t>Miscellaneous</w:t>
      </w:r>
      <w:r>
        <w:rPr>
          <w:rFonts w:cs="Arial Narrow" w:ascii="Arial Narrow" w:hAnsi="Arial Narrow"/>
          <w:sz w:val="18"/>
        </w:rPr>
        <w:t xml:space="preserve">.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w:t>
      </w:r>
    </w:p>
    <w:p>
      <w:pPr>
        <w:pStyle w:val="Normal"/>
        <w:numPr>
          <w:ilvl w:val="0"/>
          <w:numId w:val="2"/>
        </w:numPr>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pStyle w:val="Heading"/>
        <w:jc w:val="center"/>
        <w:rPr>
          <w:rFonts w:ascii="Arial Narrow" w:hAnsi="Arial Narrow" w:cs="Arial Narrow"/>
          <w:sz w:val="22"/>
          <w:u w:val="single"/>
        </w:rPr>
      </w:pPr>
      <w:r>
        <w:rPr>
          <w:rFonts w:cs="Arial Narrow" w:ascii="Arial Narrow" w:hAnsi="Arial Narrow"/>
          <w:sz w:val="22"/>
          <w:u w:val="single"/>
        </w:rPr>
        <w:t>ANNEX B</w:t>
      </w:r>
    </w:p>
    <w:p>
      <w:pPr>
        <w:pStyle w:val="Normal"/>
        <w:jc w:val="center"/>
        <w:rPr>
          <w:rFonts w:ascii="Arial Narrow" w:hAnsi="Arial Narrow" w:cs="Arial Narrow"/>
          <w:b/>
          <w:sz w:val="22"/>
          <w:u w:val="single"/>
        </w:rPr>
      </w:pPr>
      <w:r>
        <w:rPr>
          <w:rFonts w:cs="Arial Narrow" w:ascii="Arial Narrow" w:hAnsi="Arial Narrow"/>
          <w:b/>
          <w:sz w:val="22"/>
          <w:u w:val="single"/>
        </w:rPr>
      </w:r>
    </w:p>
    <w:p>
      <w:pPr>
        <w:pStyle w:val="Subtitle"/>
        <w:rPr/>
      </w:pPr>
      <w:r>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DESERET GENERATION &amp; TRANSMISSION CO-OPERATIVE</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1.</w:t>
        <w:tab/>
        <w:t xml:space="preserve">Paragraph 6, </w:t>
      </w:r>
      <w:r>
        <w:rPr>
          <w:rFonts w:cs="Arial Narrow" w:ascii="Arial Narrow" w:hAnsi="Arial Narrow"/>
          <w:sz w:val="18"/>
          <w:u w:val="single"/>
        </w:rPr>
        <w:t>Miscellaneous</w:t>
      </w:r>
      <w:r>
        <w:rPr>
          <w:rFonts w:cs="Arial Narrow" w:ascii="Arial Narrow" w:hAnsi="Arial Narrow"/>
          <w:sz w:val="18"/>
        </w:rPr>
        <w:t xml:space="preserve">, of </w:t>
      </w:r>
      <w:r>
        <w:rPr>
          <w:rFonts w:cs="Arial Narrow" w:ascii="Arial Narrow" w:hAnsi="Arial Narrow"/>
          <w:sz w:val="18"/>
          <w:u w:val="single"/>
        </w:rPr>
        <w:t>Annex A</w:t>
      </w:r>
      <w:r>
        <w:rPr>
          <w:rFonts w:cs="Arial Narrow" w:ascii="Arial Narrow" w:hAnsi="Arial Narrow"/>
          <w:sz w:val="18"/>
        </w:rPr>
        <w:t>, General Terms and Conditions, is hereby amended as follows:  In the fifth line the word “Texas” is hereby deleted and replaced with the words “New York”.</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2.</w:t>
        <w:tab/>
        <w:t xml:space="preserve">Paragraph 7, </w:t>
      </w:r>
      <w:r>
        <w:rPr>
          <w:rFonts w:cs="Arial Narrow" w:ascii="Arial Narrow" w:hAnsi="Arial Narrow"/>
          <w:sz w:val="18"/>
          <w:u w:val="single"/>
        </w:rPr>
        <w:t>Market Disruption</w:t>
      </w:r>
      <w:r>
        <w:rPr>
          <w:rFonts w:cs="Arial Narrow" w:ascii="Arial Narrow" w:hAnsi="Arial Narrow"/>
          <w:sz w:val="18"/>
        </w:rPr>
        <w:t xml:space="preserve">, of </w:t>
      </w:r>
      <w:r>
        <w:rPr>
          <w:rFonts w:cs="Arial Narrow" w:ascii="Arial Narrow" w:hAnsi="Arial Narrow"/>
          <w:sz w:val="18"/>
          <w:u w:val="single"/>
        </w:rPr>
        <w:t>Annex A</w:t>
      </w:r>
      <w:r>
        <w:rPr>
          <w:rFonts w:cs="Arial Narrow" w:ascii="Arial Narrow" w:hAnsi="Arial Narrow"/>
          <w:sz w:val="18"/>
        </w:rPr>
        <w:t>, General Terms and Conditions, is hereby amended as follows:  In the last two lines the words “in good faith by ENA, by taking the average of two or more dealer quotes” are hereby deleted and replaced with the words “through arbitration as provided for hereinabove”.</w:t>
      </w:r>
    </w:p>
    <w:p>
      <w:pPr>
        <w:pStyle w:val="Normal"/>
        <w:jc w:val="both"/>
        <w:rPr>
          <w:rFonts w:ascii="Arial Narrow" w:hAnsi="Arial Narrow" w:cs="Arial Narrow"/>
          <w:sz w:val="18"/>
        </w:rPr>
      </w:pPr>
      <w:r>
        <w:rPr>
          <w:rFonts w:cs="Arial Narrow" w:ascii="Arial Narrow" w:hAnsi="Arial Narrow"/>
          <w:sz w:val="18"/>
        </w:rPr>
      </w:r>
    </w:p>
    <w:p>
      <w:pPr>
        <w:sectPr>
          <w:type w:val="continuous"/>
          <w:pgSz w:w="12240" w:h="15840"/>
          <w:pgMar w:left="1152" w:right="864" w:gutter="0" w:header="720" w:top="864" w:footer="720" w:bottom="864"/>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22"/>
        </w:rPr>
      </w:pPr>
      <w:r>
        <w:rPr>
          <w:rFonts w:cs="Arial Narrow" w:ascii="Arial Narrow" w:hAnsi="Arial Narrow"/>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Subtitle">
    <w:name w:val="Subtitle"/>
    <w:basedOn w:val="Normal"/>
    <w:next w:val="BodyText"/>
    <w:qFormat/>
    <w:pPr>
      <w:jc w:val="center"/>
    </w:pPr>
    <w:rPr>
      <w:rFonts w:ascii="Arial Narrow" w:hAnsi="Arial Narrow" w:cs="Arial Narrow"/>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2001-10-23T17:58:00Z</dcterms:created>
  <dc:creator>ECT</dc:creator>
  <dc:description/>
  <dc:language>en-CA</dc:language>
  <cp:lastModifiedBy>shall4</cp:lastModifiedBy>
  <cp:lastPrinted>2001-10-24T19:56:00Z</cp:lastPrinted>
  <dcterms:modified xsi:type="dcterms:W3CDTF">2001-10-25T00:32:00Z</dcterms:modified>
  <cp:revision>4</cp:revision>
  <dc:subject/>
  <dc:title/>
</cp:coreProperties>
</file>