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Description of Proposed Changes</w:t>
      </w:r>
    </w:p>
    <w:p>
      <w:pPr>
        <w:pStyle w:val="Heading1"/>
        <w:ind w:hanging="0" w:start="0"/>
        <w:rPr/>
      </w:pPr>
      <w:r>
        <w:rPr/>
        <w:t>Caledonia 500 kV Substation</w:t>
      </w:r>
    </w:p>
    <w:p>
      <w:pPr>
        <w:pStyle w:val="Normal"/>
        <w:jc w:val="center"/>
        <w:rPr>
          <w:b/>
        </w:rPr>
      </w:pPr>
      <w:r>
        <w:rPr>
          <w:b/>
        </w:rPr>
      </w:r>
    </w:p>
    <w:p>
      <w:pPr>
        <w:pStyle w:val="Normal"/>
        <w:rPr>
          <w:b/>
        </w:rPr>
      </w:pPr>
      <w:r>
        <w:rPr>
          <w:b/>
        </w:rPr>
      </w:r>
    </w:p>
    <w:p>
      <w:pPr>
        <w:pStyle w:val="Heading2"/>
        <w:ind w:hanging="0" w:start="0"/>
        <w:rPr/>
      </w:pPr>
      <w:r>
        <w:rPr/>
        <w:t>New Circuit Breakers</w:t>
      </w:r>
    </w:p>
    <w:p>
      <w:pPr>
        <w:pStyle w:val="Normal"/>
        <w:rPr/>
      </w:pPr>
      <w:r>
        <w:rPr/>
        <w:tab/>
        <w:t>Four new circuit breakers (CB) with associated hardware, relaying, etc. will be added to the Caledonia 500 kV Substation as follows:</w:t>
      </w:r>
    </w:p>
    <w:p>
      <w:pPr>
        <w:pStyle w:val="Normal"/>
        <w:numPr>
          <w:ilvl w:val="0"/>
          <w:numId w:val="2"/>
        </w:numPr>
        <w:tabs>
          <w:tab w:val="clear" w:pos="720"/>
          <w:tab w:val="left" w:pos="1080" w:leader="none"/>
        </w:tabs>
        <w:ind w:hanging="360" w:start="1080" w:end="0"/>
        <w:rPr/>
      </w:pPr>
      <w:r>
        <w:rPr/>
        <w:t>CB X1 – A 500 kV CB in line with the 500 kV bus, located between the takeoff structure to Lowndes and Caledonia CB 6024.</w:t>
      </w:r>
    </w:p>
    <w:p>
      <w:pPr>
        <w:pStyle w:val="Normal"/>
        <w:numPr>
          <w:ilvl w:val="0"/>
          <w:numId w:val="2"/>
        </w:numPr>
        <w:tabs>
          <w:tab w:val="clear" w:pos="720"/>
          <w:tab w:val="left" w:pos="1080" w:leader="none"/>
        </w:tabs>
        <w:ind w:hanging="360" w:start="1080" w:end="0"/>
        <w:rPr/>
      </w:pPr>
      <w:r>
        <w:rPr/>
        <w:t>CB X2 – 500 kV CB in line with the 500 kV bus, located between Caledonia CBs 6024 and 6034.</w:t>
      </w:r>
    </w:p>
    <w:p>
      <w:pPr>
        <w:pStyle w:val="Normal"/>
        <w:numPr>
          <w:ilvl w:val="0"/>
          <w:numId w:val="2"/>
        </w:numPr>
        <w:tabs>
          <w:tab w:val="clear" w:pos="720"/>
          <w:tab w:val="left" w:pos="1080" w:leader="none"/>
        </w:tabs>
        <w:ind w:hanging="360" w:start="1080" w:end="0"/>
        <w:rPr/>
      </w:pPr>
      <w:r>
        <w:rPr/>
        <w:t>CB X3 – A 500 kV CB in line with the 500 kV bus, located between Caledonia CBs 6034 and 6044</w:t>
      </w:r>
    </w:p>
    <w:p>
      <w:pPr>
        <w:pStyle w:val="Normal"/>
        <w:numPr>
          <w:ilvl w:val="0"/>
          <w:numId w:val="2"/>
        </w:numPr>
        <w:tabs>
          <w:tab w:val="clear" w:pos="720"/>
          <w:tab w:val="left" w:pos="1080" w:leader="none"/>
        </w:tabs>
        <w:ind w:hanging="360" w:start="1080" w:end="0"/>
        <w:rPr/>
      </w:pPr>
      <w:r>
        <w:rPr/>
        <w:t>CB X4 – A 500 kV CB attached to and extension of the 500 kV bus south of Caledonia CB 6044.</w:t>
      </w:r>
    </w:p>
    <w:p>
      <w:pPr>
        <w:pStyle w:val="Normal"/>
        <w:ind w:start="720" w:end="0"/>
        <w:rPr/>
      </w:pPr>
      <w:r>
        <w:rPr/>
      </w:r>
    </w:p>
    <w:p>
      <w:pPr>
        <w:pStyle w:val="Normal"/>
        <w:rPr/>
      </w:pPr>
      <w:r>
        <w:rPr/>
        <w:t xml:space="preserve">A new 500 kV line will take off from CB X4 to a new substation located on the Alabama-Mississippi state line, which will be interconnected to Southern Company. There is sufficient space in the current yard for CBs X1, X2 or X3.  The substation yard will be expended to the south to accommodate CB X4.  </w:t>
      </w:r>
    </w:p>
    <w:p>
      <w:pPr>
        <w:pStyle w:val="Normal"/>
        <w:rPr/>
      </w:pPr>
      <w:r>
        <w:rPr/>
      </w:r>
    </w:p>
    <w:p>
      <w:pPr>
        <w:pStyle w:val="Heading2"/>
        <w:spacing w:lineRule="auto" w:line="240"/>
        <w:ind w:hanging="0" w:start="0"/>
        <w:rPr/>
      </w:pPr>
      <w:r>
        <w:rPr/>
        <w:t>Circuit Breaker Interlock</w:t>
      </w:r>
    </w:p>
    <w:p>
      <w:pPr>
        <w:pStyle w:val="Normal"/>
        <w:rPr/>
      </w:pPr>
      <w:r>
        <w:rPr/>
      </w:r>
    </w:p>
    <w:p>
      <w:pPr>
        <w:pStyle w:val="Normal"/>
        <w:rPr/>
      </w:pPr>
      <w:r>
        <w:rPr/>
        <w:tab/>
        <w:t>An interlock control scheme will be installed for the Caledonia CBs to prevent the interconnection of TVA and Southern Company through the Caledonia Substation.  The permissible states to be allowed by the control scheme are shown in the following table.</w:t>
      </w:r>
    </w:p>
    <w:p>
      <w:pPr>
        <w:pStyle w:val="Normal"/>
        <w:rPr/>
      </w:pPr>
      <w:r>
        <w:rPr/>
      </w:r>
    </w:p>
    <w:tbl>
      <w:tblPr>
        <w:tblW w:w="8100" w:type="dxa"/>
        <w:jc w:val="start"/>
        <w:tblInd w:w="828" w:type="dxa"/>
        <w:tblLayout w:type="fixed"/>
        <w:tblCellMar>
          <w:top w:w="0" w:type="dxa"/>
          <w:start w:w="108" w:type="dxa"/>
          <w:bottom w:w="0" w:type="dxa"/>
          <w:end w:w="108" w:type="dxa"/>
        </w:tblCellMar>
      </w:tblPr>
      <w:tblGrid>
        <w:gridCol w:w="2340"/>
        <w:gridCol w:w="1440"/>
        <w:gridCol w:w="1440"/>
        <w:gridCol w:w="1440"/>
        <w:gridCol w:w="1440"/>
      </w:tblGrid>
      <w:tr>
        <w:trPr/>
        <w:tc>
          <w:tcPr>
            <w:tcW w:w="2340" w:type="dxa"/>
            <w:tcBorders>
              <w:top w:val="single" w:sz="12" w:space="0" w:color="000000"/>
              <w:start w:val="single" w:sz="12" w:space="0" w:color="000000"/>
              <w:bottom w:val="single" w:sz="12" w:space="0" w:color="000000"/>
              <w:end w:val="single" w:sz="6" w:space="0" w:color="000000"/>
            </w:tcBorders>
          </w:tcPr>
          <w:p>
            <w:pPr>
              <w:pStyle w:val="Normal"/>
              <w:jc w:val="center"/>
              <w:rPr>
                <w:b/>
                <w:i/>
                <w:i/>
              </w:rPr>
            </w:pPr>
            <w:r>
              <w:rPr>
                <w:b/>
                <w:i/>
              </w:rPr>
              <w:t>Equipment</w:t>
            </w:r>
          </w:p>
        </w:tc>
        <w:tc>
          <w:tcPr>
            <w:tcW w:w="1440" w:type="dxa"/>
            <w:tcBorders>
              <w:top w:val="single" w:sz="12" w:space="0" w:color="000000"/>
              <w:start w:val="single" w:sz="6" w:space="0" w:color="000000"/>
              <w:bottom w:val="single" w:sz="12" w:space="0" w:color="000000"/>
              <w:end w:val="single" w:sz="6" w:space="0" w:color="000000"/>
            </w:tcBorders>
          </w:tcPr>
          <w:p>
            <w:pPr>
              <w:pStyle w:val="Normal"/>
              <w:jc w:val="center"/>
              <w:rPr>
                <w:b/>
                <w:i/>
                <w:i/>
              </w:rPr>
            </w:pPr>
            <w:r>
              <w:rPr>
                <w:b/>
                <w:i/>
              </w:rPr>
              <w:t>State 1</w:t>
            </w:r>
          </w:p>
        </w:tc>
        <w:tc>
          <w:tcPr>
            <w:tcW w:w="1440" w:type="dxa"/>
            <w:tcBorders>
              <w:top w:val="single" w:sz="12" w:space="0" w:color="000000"/>
              <w:start w:val="single" w:sz="6" w:space="0" w:color="000000"/>
              <w:bottom w:val="single" w:sz="12" w:space="0" w:color="000000"/>
              <w:end w:val="single" w:sz="6" w:space="0" w:color="000000"/>
            </w:tcBorders>
          </w:tcPr>
          <w:p>
            <w:pPr>
              <w:pStyle w:val="Normal"/>
              <w:jc w:val="center"/>
              <w:rPr>
                <w:b/>
                <w:i/>
                <w:i/>
              </w:rPr>
            </w:pPr>
            <w:r>
              <w:rPr>
                <w:b/>
                <w:i/>
              </w:rPr>
              <w:t>State 2</w:t>
            </w:r>
          </w:p>
        </w:tc>
        <w:tc>
          <w:tcPr>
            <w:tcW w:w="1440" w:type="dxa"/>
            <w:tcBorders>
              <w:top w:val="single" w:sz="12" w:space="0" w:color="000000"/>
              <w:start w:val="single" w:sz="6" w:space="0" w:color="000000"/>
              <w:bottom w:val="single" w:sz="12" w:space="0" w:color="000000"/>
              <w:end w:val="single" w:sz="6" w:space="0" w:color="000000"/>
            </w:tcBorders>
          </w:tcPr>
          <w:p>
            <w:pPr>
              <w:pStyle w:val="Normal"/>
              <w:jc w:val="center"/>
              <w:rPr>
                <w:b/>
                <w:i/>
                <w:i/>
              </w:rPr>
            </w:pPr>
            <w:r>
              <w:rPr>
                <w:b/>
                <w:i/>
              </w:rPr>
              <w:t>State 3</w:t>
            </w:r>
          </w:p>
        </w:tc>
        <w:tc>
          <w:tcPr>
            <w:tcW w:w="1440" w:type="dxa"/>
            <w:tcBorders>
              <w:top w:val="single" w:sz="12" w:space="0" w:color="000000"/>
              <w:start w:val="single" w:sz="6" w:space="0" w:color="000000"/>
              <w:bottom w:val="single" w:sz="12" w:space="0" w:color="000000"/>
              <w:end w:val="single" w:sz="12" w:space="0" w:color="000000"/>
            </w:tcBorders>
          </w:tcPr>
          <w:p>
            <w:pPr>
              <w:pStyle w:val="Normal"/>
              <w:jc w:val="center"/>
              <w:rPr>
                <w:b/>
                <w:i/>
                <w:i/>
              </w:rPr>
            </w:pPr>
            <w:r>
              <w:rPr>
                <w:b/>
                <w:i/>
              </w:rPr>
              <w:t>State 4</w:t>
            </w:r>
          </w:p>
        </w:tc>
      </w:tr>
      <w:tr>
        <w:trPr/>
        <w:tc>
          <w:tcPr>
            <w:tcW w:w="2340" w:type="dxa"/>
            <w:tcBorders>
              <w:start w:val="single" w:sz="12" w:space="0" w:color="000000"/>
              <w:bottom w:val="single" w:sz="6" w:space="0" w:color="000000"/>
              <w:end w:val="single" w:sz="6" w:space="0" w:color="000000"/>
            </w:tcBorders>
          </w:tcPr>
          <w:p>
            <w:pPr>
              <w:pStyle w:val="Normal"/>
              <w:jc w:val="center"/>
              <w:rPr/>
            </w:pPr>
            <w:r>
              <w:rPr/>
              <w:t>Unit Banks on TVA</w:t>
            </w:r>
          </w:p>
        </w:tc>
        <w:tc>
          <w:tcPr>
            <w:tcW w:w="1440" w:type="dxa"/>
            <w:tcBorders>
              <w:start w:val="single" w:sz="6" w:space="0" w:color="000000"/>
              <w:bottom w:val="single" w:sz="6" w:space="0" w:color="000000"/>
              <w:end w:val="single" w:sz="6" w:space="0" w:color="000000"/>
            </w:tcBorders>
          </w:tcPr>
          <w:p>
            <w:pPr>
              <w:pStyle w:val="Normal"/>
              <w:jc w:val="center"/>
              <w:rPr/>
            </w:pPr>
            <w:r>
              <w:rPr/>
              <w:t>#1,#2,#3</w:t>
            </w:r>
          </w:p>
        </w:tc>
        <w:tc>
          <w:tcPr>
            <w:tcW w:w="1440" w:type="dxa"/>
            <w:tcBorders>
              <w:start w:val="single" w:sz="6" w:space="0" w:color="000000"/>
              <w:bottom w:val="single" w:sz="6" w:space="0" w:color="000000"/>
              <w:end w:val="single" w:sz="6" w:space="0" w:color="000000"/>
            </w:tcBorders>
          </w:tcPr>
          <w:p>
            <w:pPr>
              <w:pStyle w:val="Normal"/>
              <w:jc w:val="center"/>
              <w:rPr/>
            </w:pPr>
            <w:r>
              <w:rPr/>
              <w:t>#1,#2</w:t>
            </w:r>
          </w:p>
        </w:tc>
        <w:tc>
          <w:tcPr>
            <w:tcW w:w="1440" w:type="dxa"/>
            <w:tcBorders>
              <w:start w:val="single" w:sz="6" w:space="0" w:color="000000"/>
              <w:bottom w:val="single" w:sz="6" w:space="0" w:color="000000"/>
              <w:end w:val="single" w:sz="6" w:space="0" w:color="000000"/>
            </w:tcBorders>
          </w:tcPr>
          <w:p>
            <w:pPr>
              <w:pStyle w:val="Normal"/>
              <w:jc w:val="center"/>
              <w:rPr/>
            </w:pPr>
            <w:r>
              <w:rPr/>
              <w:t>#1</w:t>
            </w:r>
          </w:p>
        </w:tc>
        <w:tc>
          <w:tcPr>
            <w:tcW w:w="1440" w:type="dxa"/>
            <w:tcBorders>
              <w:start w:val="single" w:sz="6" w:space="0" w:color="000000"/>
              <w:bottom w:val="single" w:sz="6" w:space="0" w:color="000000"/>
              <w:end w:val="single" w:sz="12" w:space="0" w:color="000000"/>
            </w:tcBorders>
          </w:tcPr>
          <w:p>
            <w:pPr>
              <w:pStyle w:val="Normal"/>
              <w:jc w:val="center"/>
              <w:rPr/>
            </w:pPr>
            <w:r>
              <w:rPr/>
              <w:t>None</w:t>
            </w:r>
          </w:p>
        </w:tc>
      </w:tr>
      <w:tr>
        <w:trPr/>
        <w:tc>
          <w:tcPr>
            <w:tcW w:w="2340" w:type="dxa"/>
            <w:tcBorders>
              <w:top w:val="single" w:sz="6" w:space="0" w:color="000000"/>
              <w:start w:val="single" w:sz="12" w:space="0" w:color="000000"/>
              <w:bottom w:val="single" w:sz="6" w:space="0" w:color="000000"/>
              <w:end w:val="single" w:sz="6" w:space="0" w:color="000000"/>
            </w:tcBorders>
          </w:tcPr>
          <w:p>
            <w:pPr>
              <w:pStyle w:val="Normal"/>
              <w:jc w:val="center"/>
              <w:rPr/>
            </w:pPr>
            <w:r>
              <w:rPr/>
              <w:t>Unit Bans on So Co</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None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 #3</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center"/>
              <w:rPr/>
            </w:pPr>
            <w:r>
              <w:rPr/>
              <w:t>#1, #2, #3</w:t>
            </w:r>
          </w:p>
        </w:tc>
      </w:tr>
      <w:tr>
        <w:trPr/>
        <w:tc>
          <w:tcPr>
            <w:tcW w:w="2340" w:type="dxa"/>
            <w:tcBorders>
              <w:top w:val="single" w:sz="6" w:space="0" w:color="000000"/>
              <w:start w:val="single" w:sz="12" w:space="0" w:color="000000"/>
              <w:bottom w:val="single" w:sz="6" w:space="0" w:color="000000"/>
              <w:end w:val="single" w:sz="6" w:space="0" w:color="000000"/>
            </w:tcBorders>
          </w:tcPr>
          <w:p>
            <w:pPr>
              <w:pStyle w:val="Normal"/>
              <w:jc w:val="center"/>
              <w:rPr/>
            </w:pPr>
            <w:r>
              <w:rPr/>
              <w:t>CB X1</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Closed</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Closed</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Closed</w:t>
            </w:r>
          </w:p>
        </w:tc>
        <w:tc>
          <w:tcPr>
            <w:tcW w:w="1440" w:type="dxa"/>
            <w:tcBorders>
              <w:top w:val="single" w:sz="6" w:space="0" w:color="000000"/>
              <w:start w:val="single" w:sz="6" w:space="0" w:color="000000"/>
              <w:bottom w:val="single" w:sz="6" w:space="0" w:color="000000"/>
              <w:end w:val="single" w:sz="12" w:space="0" w:color="000000"/>
            </w:tcBorders>
          </w:tcPr>
          <w:p>
            <w:pPr>
              <w:pStyle w:val="Heading4"/>
              <w:ind w:hanging="0" w:start="0"/>
              <w:rPr/>
            </w:pPr>
            <w:r>
              <w:rPr/>
              <w:t>Open</w:t>
            </w:r>
          </w:p>
        </w:tc>
      </w:tr>
      <w:tr>
        <w:trPr/>
        <w:tc>
          <w:tcPr>
            <w:tcW w:w="2340" w:type="dxa"/>
            <w:tcBorders>
              <w:top w:val="single" w:sz="6" w:space="0" w:color="000000"/>
              <w:start w:val="single" w:sz="12" w:space="0" w:color="000000"/>
              <w:bottom w:val="single" w:sz="6" w:space="0" w:color="000000"/>
              <w:end w:val="single" w:sz="6" w:space="0" w:color="000000"/>
            </w:tcBorders>
          </w:tcPr>
          <w:p>
            <w:pPr>
              <w:pStyle w:val="Normal"/>
              <w:jc w:val="center"/>
              <w:rPr/>
            </w:pPr>
            <w:r>
              <w:rPr/>
              <w:t>CB X2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Closed</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Closed</w:t>
            </w:r>
          </w:p>
        </w:tc>
        <w:tc>
          <w:tcPr>
            <w:tcW w:w="1440" w:type="dxa"/>
            <w:tcBorders>
              <w:top w:val="single" w:sz="6" w:space="0" w:color="000000"/>
              <w:start w:val="single" w:sz="6" w:space="0" w:color="000000"/>
              <w:bottom w:val="single" w:sz="6" w:space="0" w:color="000000"/>
              <w:end w:val="single" w:sz="6" w:space="0" w:color="000000"/>
            </w:tcBorders>
          </w:tcPr>
          <w:p>
            <w:pPr>
              <w:pStyle w:val="Heading4"/>
              <w:ind w:hanging="0" w:start="0"/>
              <w:rPr/>
            </w:pPr>
            <w:r>
              <w:rPr/>
              <w:t>Open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center"/>
              <w:rPr/>
            </w:pPr>
            <w:r>
              <w:rPr/>
              <w:t>Closed</w:t>
            </w:r>
          </w:p>
        </w:tc>
      </w:tr>
      <w:tr>
        <w:trPr/>
        <w:tc>
          <w:tcPr>
            <w:tcW w:w="2340" w:type="dxa"/>
            <w:tcBorders>
              <w:top w:val="single" w:sz="6" w:space="0" w:color="000000"/>
              <w:start w:val="single" w:sz="12" w:space="0" w:color="000000"/>
              <w:bottom w:val="single" w:sz="6" w:space="0" w:color="000000"/>
              <w:end w:val="single" w:sz="6" w:space="0" w:color="000000"/>
            </w:tcBorders>
          </w:tcPr>
          <w:p>
            <w:pPr>
              <w:pStyle w:val="Normal"/>
              <w:jc w:val="center"/>
              <w:rPr/>
            </w:pPr>
            <w:r>
              <w:rPr/>
              <w:t>CB X3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Closed</w:t>
            </w:r>
          </w:p>
        </w:tc>
        <w:tc>
          <w:tcPr>
            <w:tcW w:w="1440" w:type="dxa"/>
            <w:tcBorders>
              <w:top w:val="single" w:sz="6" w:space="0" w:color="000000"/>
              <w:start w:val="single" w:sz="6" w:space="0" w:color="000000"/>
              <w:bottom w:val="single" w:sz="6" w:space="0" w:color="000000"/>
              <w:end w:val="single" w:sz="6" w:space="0" w:color="000000"/>
            </w:tcBorders>
          </w:tcPr>
          <w:p>
            <w:pPr>
              <w:pStyle w:val="Heading4"/>
              <w:ind w:hanging="0" w:start="0"/>
              <w:rPr/>
            </w:pPr>
            <w:r>
              <w:rPr/>
              <w:t>Open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Closed</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center"/>
              <w:rPr/>
            </w:pPr>
            <w:r>
              <w:rPr/>
              <w:t>Closed</w:t>
            </w:r>
          </w:p>
        </w:tc>
      </w:tr>
      <w:tr>
        <w:trPr>
          <w:trHeight w:val="228" w:hRule="atLeast"/>
        </w:trPr>
        <w:tc>
          <w:tcPr>
            <w:tcW w:w="2340" w:type="dxa"/>
            <w:tcBorders>
              <w:top w:val="single" w:sz="6" w:space="0" w:color="000000"/>
              <w:start w:val="single" w:sz="12" w:space="0" w:color="000000"/>
              <w:bottom w:val="single" w:sz="12" w:space="0" w:color="000000"/>
              <w:end w:val="single" w:sz="6" w:space="0" w:color="000000"/>
            </w:tcBorders>
          </w:tcPr>
          <w:p>
            <w:pPr>
              <w:pStyle w:val="Normal"/>
              <w:jc w:val="center"/>
              <w:rPr/>
            </w:pPr>
            <w:r>
              <w:rPr/>
              <w:t>CB X4</w:t>
            </w:r>
          </w:p>
        </w:tc>
        <w:tc>
          <w:tcPr>
            <w:tcW w:w="1440" w:type="dxa"/>
            <w:tcBorders>
              <w:top w:val="single" w:sz="6" w:space="0" w:color="000000"/>
              <w:start w:val="single" w:sz="6" w:space="0" w:color="000000"/>
              <w:bottom w:val="single" w:sz="12" w:space="0" w:color="000000"/>
              <w:end w:val="single" w:sz="6" w:space="0" w:color="000000"/>
            </w:tcBorders>
          </w:tcPr>
          <w:p>
            <w:pPr>
              <w:pStyle w:val="Heading3"/>
              <w:ind w:hanging="0" w:start="0"/>
              <w:rPr>
                <w:color w:val="FF0000"/>
              </w:rPr>
            </w:pPr>
            <w:r>
              <w:rPr>
                <w:color w:val="FF0000"/>
              </w:rPr>
              <w:t>Open</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center"/>
              <w:rPr/>
            </w:pPr>
            <w:r>
              <w:rPr/>
              <w:t>Closed</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center"/>
              <w:rPr/>
            </w:pPr>
            <w:r>
              <w:rPr/>
              <w:t>Closed</w:t>
            </w:r>
          </w:p>
        </w:tc>
        <w:tc>
          <w:tcPr>
            <w:tcW w:w="1440" w:type="dxa"/>
            <w:tcBorders>
              <w:top w:val="single" w:sz="6" w:space="0" w:color="000000"/>
              <w:start w:val="single" w:sz="6" w:space="0" w:color="000000"/>
              <w:bottom w:val="single" w:sz="12" w:space="0" w:color="000000"/>
              <w:end w:val="single" w:sz="12" w:space="0" w:color="000000"/>
            </w:tcBorders>
          </w:tcPr>
          <w:p>
            <w:pPr>
              <w:pStyle w:val="Normal"/>
              <w:jc w:val="center"/>
              <w:rPr/>
            </w:pPr>
            <w:r>
              <w:rPr/>
              <w:t>Closed</w:t>
            </w:r>
          </w:p>
        </w:tc>
      </w:tr>
    </w:tbl>
    <w:p>
      <w:pPr>
        <w:pStyle w:val="Normal"/>
        <w:rPr/>
      </w:pPr>
      <w:r>
        <w:rPr/>
      </w:r>
    </w:p>
    <w:p>
      <w:pPr>
        <w:pStyle w:val="Normal"/>
        <w:rPr/>
      </w:pPr>
      <w:r>
        <w:rPr/>
      </w:r>
    </w:p>
    <w:p>
      <w:pPr>
        <w:pStyle w:val="Heading2"/>
        <w:spacing w:lineRule="auto" w:line="240"/>
        <w:ind w:hanging="0" w:start="0"/>
        <w:rPr/>
      </w:pPr>
      <w:r>
        <w:rPr/>
        <w:t>System Impacts</w:t>
      </w:r>
    </w:p>
    <w:p>
      <w:pPr>
        <w:pStyle w:val="Normal"/>
        <w:rPr/>
      </w:pPr>
      <w:r>
        <w:rPr/>
      </w:r>
    </w:p>
    <w:p>
      <w:pPr>
        <w:pStyle w:val="Normal"/>
        <w:rPr/>
      </w:pPr>
      <w:r>
        <w:rPr/>
        <w:tab/>
        <w:t>With the interlock controls in place, as described above, the Caledonia Substation will continue to be a radial connection for TVA at Lowndes.  The technical characteristics will be no different to having from one to three units operating with the existing Caledonia Interconnection Facilities.  Therefore, the proposed change in the Caledonia Interconnection Facilities will have no measurable reliability impact upon the TVA system.</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S.Walton</w:t>
      <w:tab/>
      <w:tab/>
    </w: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lineRule="auto" w:line="480"/>
      <w:outlineLvl w:val="1"/>
    </w:pPr>
    <w:rPr>
      <w:u w:val="single"/>
    </w:rPr>
  </w:style>
  <w:style w:type="paragraph" w:styleId="Heading3">
    <w:name w:val="heading 3"/>
    <w:basedOn w:val="Normal"/>
    <w:next w:val="Normal"/>
    <w:qFormat/>
    <w:pPr>
      <w:keepNext w:val="true"/>
      <w:numPr>
        <w:ilvl w:val="2"/>
        <w:numId w:val="1"/>
      </w:numPr>
      <w:jc w:val="center"/>
      <w:outlineLvl w:val="2"/>
    </w:pPr>
    <w:rPr>
      <w:b/>
      <w:color w:val="00FF00"/>
    </w:rPr>
  </w:style>
  <w:style w:type="paragraph" w:styleId="Heading4">
    <w:name w:val="heading 4"/>
    <w:basedOn w:val="Normal"/>
    <w:next w:val="Normal"/>
    <w:qFormat/>
    <w:pPr>
      <w:keepNext w:val="true"/>
      <w:numPr>
        <w:ilvl w:val="3"/>
        <w:numId w:val="1"/>
      </w:numPr>
      <w:jc w:val="center"/>
      <w:outlineLvl w:val="3"/>
    </w:pPr>
    <w:rPr>
      <w:b/>
      <w:color w:val="FF0000"/>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2000-04-18T20:23:00Z</dcterms:created>
  <dc:creator>swalto2</dc:creator>
  <dc:description/>
  <dc:language>en-CA</dc:language>
  <cp:lastModifiedBy>swalto2</cp:lastModifiedBy>
  <cp:lastPrinted>2000-04-18T17:46:00Z</cp:lastPrinted>
  <dcterms:modified xsi:type="dcterms:W3CDTF">2000-04-18T20:23:00Z</dcterms:modified>
  <cp:revision>2</cp:revision>
  <dc:subject/>
  <dc:title>Description of Proposed Changes</dc:title>
</cp:coreProperties>
</file>