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rFonts w:ascii="Times New Roman" w:hAnsi="Times New Roman" w:cs="Times New Roman"/>
        </w:rPr>
      </w:pPr>
      <w:r>
        <w:rPr>
          <w:rFonts w:cs="Times New Roman" w:ascii="Times New Roman" w:hAnsi="Times New Roman"/>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rFonts w:ascii="Times New Roman" w:hAnsi="Times New Roman" w:cs="Times New Roman"/>
        </w:rPr>
      </w:pPr>
      <w:r>
        <w:rPr>
          <w:rFonts w:cs="Times New Roman"/>
        </w:rPr>
      </w:r>
    </w:p>
    <w:tbl>
      <w:tblPr>
        <w:tblW w:w="9808" w:type="dxa"/>
        <w:jc w:val="start"/>
        <w:tblInd w:w="200" w:type="dxa"/>
        <w:tblLayout w:type="fixed"/>
        <w:tblCellMar>
          <w:top w:w="0" w:type="dxa"/>
          <w:start w:w="108" w:type="dxa"/>
          <w:bottom w:w="0" w:type="dxa"/>
          <w:end w:w="108" w:type="dxa"/>
        </w:tblCellMar>
      </w:tblPr>
      <w:tblGrid>
        <w:gridCol w:w="708"/>
        <w:gridCol w:w="4060"/>
        <w:gridCol w:w="1260"/>
        <w:gridCol w:w="3780"/>
      </w:tblGrid>
      <w:tr>
        <w:trPr>
          <w:trHeight w:val="657" w:hRule="exact"/>
        </w:trPr>
        <w:tc>
          <w:tcPr>
            <w:tcW w:w="708" w:type="dxa"/>
            <w:tcBorders/>
          </w:tcPr>
          <w:p>
            <w:pPr>
              <w:pStyle w:val="Normal"/>
              <w:ind w:start="-180" w:end="0"/>
              <w:jc w:val="end"/>
              <w:rPr/>
            </w:pPr>
            <w:r>
              <w:rPr/>
              <w:t>To:</w:t>
            </w:r>
          </w:p>
        </w:tc>
        <w:tc>
          <w:tcPr>
            <w:tcW w:w="4060" w:type="dxa"/>
            <w:tcBorders/>
          </w:tcPr>
          <w:p>
            <w:pPr>
              <w:pStyle w:val="To"/>
              <w:rPr>
                <w:rFonts w:ascii="Times New Roman" w:hAnsi="Times New Roman" w:cs="Times New Roman"/>
                <w:sz w:val="24"/>
              </w:rPr>
            </w:pPr>
            <w:r>
              <w:rPr>
                <w:rFonts w:cs="Times New Roman" w:ascii="Times New Roman" w:hAnsi="Times New Roman"/>
                <w:sz w:val="24"/>
              </w:rPr>
              <w:t>James V. Derrick, Jr.</w:t>
            </w:r>
          </w:p>
        </w:tc>
        <w:tc>
          <w:tcPr>
            <w:tcW w:w="1260" w:type="dxa"/>
            <w:tcBorders/>
          </w:tcPr>
          <w:p>
            <w:pPr>
              <w:pStyle w:val="Normal"/>
              <w:snapToGrid w:val="false"/>
              <w:ind w:start="-180" w:end="0"/>
              <w:rPr>
                <w:rFonts w:ascii="Times New Roman" w:hAnsi="Times New Roman" w:cs="Times New Roman"/>
                <w:sz w:val="24"/>
              </w:rPr>
            </w:pPr>
            <w:r>
              <w:rPr>
                <w:rFonts w:cs="Times New Roman"/>
                <w:sz w:val="24"/>
              </w:rPr>
            </w:r>
          </w:p>
        </w:tc>
        <w:tc>
          <w:tcPr>
            <w:tcW w:w="3780" w:type="dxa"/>
            <w:tcBorders/>
          </w:tcPr>
          <w:p>
            <w:pPr>
              <w:pStyle w:val="Footer"/>
              <w:numPr>
                <w:ilvl w:val="0"/>
                <w:numId w:val="1"/>
              </w:numPr>
              <w:tabs>
                <w:tab w:val="clear" w:pos="4320"/>
                <w:tab w:val="clear" w:pos="8640"/>
              </w:tabs>
              <w:overflowPunct w:val="true"/>
              <w:autoSpaceDE w:val="true"/>
              <w:textAlignment w:val="auto"/>
              <w:rPr>
                <w:rFonts w:ascii="Times New Roman" w:hAnsi="Times New Roman" w:cs="Times New Roman"/>
                <w:szCs w:val="24"/>
              </w:rPr>
            </w:pPr>
            <w:r>
              <w:rPr>
                <w:rFonts w:cs="Times New Roman" w:ascii="Times New Roman" w:hAnsi="Times New Roman"/>
                <w:szCs w:val="24"/>
              </w:rPr>
              <w:t>Mark Haedicke</w:t>
            </w:r>
          </w:p>
          <w:p>
            <w:pPr>
              <w:pStyle w:val="Footer"/>
              <w:tabs>
                <w:tab w:val="clear" w:pos="4320"/>
                <w:tab w:val="clear" w:pos="8640"/>
              </w:tabs>
              <w:overflowPunct w:val="true"/>
              <w:autoSpaceDE w:val="true"/>
              <w:ind w:start="360" w:end="0"/>
              <w:textAlignment w:val="auto"/>
              <w:rPr>
                <w:rFonts w:ascii="Times New Roman" w:hAnsi="Times New Roman" w:cs="Times New Roman"/>
                <w:szCs w:val="24"/>
              </w:rPr>
            </w:pPr>
            <w:r>
              <w:rPr>
                <w:rFonts w:cs="Times New Roman" w:ascii="Times New Roman" w:hAnsi="Times New Roman"/>
                <w:szCs w:val="24"/>
              </w:rPr>
              <w:t xml:space="preserve">       </w:t>
            </w:r>
            <w:r>
              <w:rPr>
                <w:rFonts w:cs="Times New Roman" w:ascii="Times New Roman" w:hAnsi="Times New Roman"/>
                <w:szCs w:val="24"/>
              </w:rPr>
              <w:t>Julia Murray</w:t>
            </w:r>
          </w:p>
        </w:tc>
      </w:tr>
      <w:tr>
        <w:trPr>
          <w:trHeight w:val="216" w:hRule="exact"/>
        </w:trPr>
        <w:tc>
          <w:tcPr>
            <w:tcW w:w="708" w:type="dxa"/>
            <w:tcBorders/>
          </w:tcPr>
          <w:p>
            <w:pPr>
              <w:pStyle w:val="Normal"/>
              <w:snapToGrid w:val="false"/>
              <w:ind w:start="-180" w:end="0"/>
              <w:jc w:val="end"/>
              <w:rPr>
                <w:rFonts w:ascii="Times New Roman" w:hAnsi="Times New Roman" w:cs="Times New Roman"/>
                <w:szCs w:val="24"/>
              </w:rPr>
            </w:pPr>
            <w:r>
              <w:rPr>
                <w:rFonts w:cs="Times New Roman"/>
                <w:szCs w:val="24"/>
              </w:rPr>
            </w:r>
          </w:p>
        </w:tc>
        <w:tc>
          <w:tcPr>
            <w:tcW w:w="4060" w:type="dxa"/>
            <w:tcBorders/>
          </w:tcPr>
          <w:p>
            <w:pPr>
              <w:pStyle w:val="Normal"/>
              <w:snapToGrid w:val="false"/>
              <w:rPr/>
            </w:pPr>
            <w:r>
              <w:rPr/>
            </w:r>
          </w:p>
        </w:tc>
        <w:tc>
          <w:tcPr>
            <w:tcW w:w="1260" w:type="dxa"/>
            <w:tcBorders/>
          </w:tcPr>
          <w:p>
            <w:pPr>
              <w:pStyle w:val="Normal"/>
              <w:snapToGrid w:val="false"/>
              <w:ind w:start="-180" w:end="0"/>
              <w:rPr/>
            </w:pPr>
            <w:r>
              <w:rPr/>
            </w:r>
          </w:p>
        </w:tc>
        <w:tc>
          <w:tcPr>
            <w:tcW w:w="3780" w:type="dxa"/>
            <w:tcBorders/>
          </w:tcPr>
          <w:p>
            <w:pPr>
              <w:pStyle w:val="Normal"/>
              <w:snapToGrid w:val="false"/>
              <w:rPr/>
            </w:pPr>
            <w:r>
              <w:rPr/>
            </w:r>
          </w:p>
        </w:tc>
      </w:tr>
      <w:tr>
        <w:trPr>
          <w:trHeight w:val="300" w:hRule="exact"/>
        </w:trPr>
        <w:tc>
          <w:tcPr>
            <w:tcW w:w="708" w:type="dxa"/>
            <w:tcBorders/>
          </w:tcPr>
          <w:p>
            <w:pPr>
              <w:pStyle w:val="Normal"/>
              <w:ind w:start="-180" w:end="0"/>
              <w:jc w:val="end"/>
              <w:rPr/>
            </w:pPr>
            <w:r>
              <w:rPr/>
              <w:t>From:</w:t>
            </w:r>
          </w:p>
        </w:tc>
        <w:tc>
          <w:tcPr>
            <w:tcW w:w="4060" w:type="dxa"/>
            <w:tcBorders/>
          </w:tcPr>
          <w:p>
            <w:pPr>
              <w:pStyle w:val="From"/>
              <w:rPr>
                <w:rFonts w:ascii="Times New Roman" w:hAnsi="Times New Roman" w:cs="Times New Roman"/>
                <w:sz w:val="24"/>
              </w:rPr>
            </w:pPr>
            <w:r>
              <w:rPr>
                <w:rFonts w:cs="Times New Roman" w:ascii="Times New Roman" w:hAnsi="Times New Roman"/>
                <w:sz w:val="24"/>
              </w:rPr>
              <w:t>Peter del Vecchio</w:t>
            </w:r>
          </w:p>
        </w:tc>
        <w:tc>
          <w:tcPr>
            <w:tcW w:w="1260" w:type="dxa"/>
            <w:tcBorders/>
          </w:tcPr>
          <w:p>
            <w:pPr>
              <w:pStyle w:val="Normal"/>
              <w:ind w:start="-180" w:end="0"/>
              <w:jc w:val="end"/>
              <w:rPr/>
            </w:pPr>
            <w:r>
              <w:rPr/>
              <w:t>Department:</w:t>
            </w:r>
          </w:p>
        </w:tc>
        <w:tc>
          <w:tcPr>
            <w:tcW w:w="3780"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Legal—Enron Wholesale Services</w:t>
            </w:r>
          </w:p>
        </w:tc>
      </w:tr>
      <w:tr>
        <w:trPr>
          <w:trHeight w:val="216" w:hRule="exact"/>
        </w:trPr>
        <w:tc>
          <w:tcPr>
            <w:tcW w:w="708" w:type="dxa"/>
            <w:tcBorders/>
          </w:tcPr>
          <w:p>
            <w:pPr>
              <w:pStyle w:val="Normal"/>
              <w:snapToGrid w:val="false"/>
              <w:ind w:start="-180" w:end="0"/>
              <w:jc w:val="end"/>
              <w:rPr>
                <w:rFonts w:ascii="Times New Roman" w:hAnsi="Times New Roman" w:cs="Times New Roman"/>
                <w:sz w:val="24"/>
              </w:rPr>
            </w:pPr>
            <w:r>
              <w:rPr>
                <w:rFonts w:cs="Times New Roman"/>
                <w:sz w:val="24"/>
              </w:rPr>
            </w:r>
          </w:p>
        </w:tc>
        <w:tc>
          <w:tcPr>
            <w:tcW w:w="4060" w:type="dxa"/>
            <w:tcBorders/>
          </w:tcPr>
          <w:p>
            <w:pPr>
              <w:pStyle w:val="Normal"/>
              <w:snapToGrid w:val="false"/>
              <w:rPr/>
            </w:pPr>
            <w:r>
              <w:rPr/>
            </w:r>
          </w:p>
        </w:tc>
        <w:tc>
          <w:tcPr>
            <w:tcW w:w="1260" w:type="dxa"/>
            <w:tcBorders/>
          </w:tcPr>
          <w:p>
            <w:pPr>
              <w:pStyle w:val="Normal"/>
              <w:snapToGrid w:val="false"/>
              <w:ind w:start="-180" w:end="0"/>
              <w:rPr/>
            </w:pPr>
            <w:r>
              <w:rPr/>
            </w:r>
          </w:p>
        </w:tc>
        <w:tc>
          <w:tcPr>
            <w:tcW w:w="3780" w:type="dxa"/>
            <w:tcBorders/>
          </w:tcPr>
          <w:p>
            <w:pPr>
              <w:pStyle w:val="Normal"/>
              <w:snapToGrid w:val="false"/>
              <w:rPr/>
            </w:pPr>
            <w:r>
              <w:rPr/>
            </w:r>
          </w:p>
        </w:tc>
      </w:tr>
      <w:tr>
        <w:trPr>
          <w:trHeight w:val="324" w:hRule="exact"/>
        </w:trPr>
        <w:tc>
          <w:tcPr>
            <w:tcW w:w="708" w:type="dxa"/>
            <w:tcBorders>
              <w:bottom w:val="single" w:sz="12" w:space="0" w:color="000000"/>
            </w:tcBorders>
          </w:tcPr>
          <w:p>
            <w:pPr>
              <w:pStyle w:val="Normal"/>
              <w:ind w:start="-180" w:end="0"/>
              <w:jc w:val="end"/>
              <w:rPr/>
            </w:pPr>
            <w:r>
              <w:rPr/>
              <w:t>Subject:</w:t>
            </w:r>
          </w:p>
        </w:tc>
        <w:tc>
          <w:tcPr>
            <w:tcW w:w="4060" w:type="dxa"/>
            <w:tcBorders>
              <w:bottom w:val="single" w:sz="12" w:space="0" w:color="000000"/>
            </w:tcBorders>
          </w:tcPr>
          <w:p>
            <w:pPr>
              <w:pStyle w:val="Subject"/>
              <w:rPr>
                <w:rFonts w:ascii="Times New Roman" w:hAnsi="Times New Roman" w:cs="Times New Roman"/>
                <w:sz w:val="24"/>
              </w:rPr>
            </w:pPr>
            <w:r>
              <w:rPr>
                <w:rFonts w:cs="Times New Roman" w:ascii="Times New Roman" w:hAnsi="Times New Roman"/>
                <w:sz w:val="24"/>
              </w:rPr>
              <w:t>Project Canary—Celgar Pulp Mill</w:t>
            </w:r>
          </w:p>
        </w:tc>
        <w:tc>
          <w:tcPr>
            <w:tcW w:w="1260" w:type="dxa"/>
            <w:tcBorders>
              <w:bottom w:val="single" w:sz="12" w:space="0" w:color="000000"/>
            </w:tcBorders>
          </w:tcPr>
          <w:p>
            <w:pPr>
              <w:pStyle w:val="Normal"/>
              <w:ind w:start="-180" w:end="0"/>
              <w:jc w:val="end"/>
              <w:rPr/>
            </w:pPr>
            <w:r>
              <w:rPr/>
              <w:t>Date:</w:t>
            </w:r>
          </w:p>
        </w:tc>
        <w:tc>
          <w:tcPr>
            <w:tcW w:w="3780" w:type="dxa"/>
            <w:tcBorders>
              <w:bottom w:val="single" w:sz="12" w:space="0" w:color="000000"/>
            </w:tcBorders>
          </w:tcPr>
          <w:p>
            <w:pPr>
              <w:pStyle w:val="Date"/>
              <w:rPr>
                <w:rFonts w:ascii="Times New Roman" w:hAnsi="Times New Roman" w:cs="Times New Roman"/>
                <w:sz w:val="24"/>
              </w:rPr>
            </w:pPr>
            <w:r>
              <w:rPr>
                <w:rFonts w:cs="Times New Roman" w:ascii="Times New Roman" w:hAnsi="Times New Roman"/>
                <w:sz w:val="24"/>
              </w:rPr>
              <w:fldChar w:fldCharType="begin"/>
            </w:r>
            <w:r>
              <w:rPr>
                <w:sz w:val="24"/>
                <w:rFonts w:cs="Times New Roman" w:ascii="Times New Roman" w:hAnsi="Times New Roman"/>
              </w:rPr>
              <w:instrText xml:space="preserve"> DATE \@"MMMM\ d', 'yyyy" </w:instrText>
            </w:r>
            <w:r>
              <w:rPr>
                <w:sz w:val="24"/>
                <w:rFonts w:cs="Times New Roman" w:ascii="Times New Roman" w:hAnsi="Times New Roman"/>
              </w:rPr>
              <w:fldChar w:fldCharType="separate"/>
            </w:r>
            <w:r>
              <w:rPr>
                <w:sz w:val="24"/>
                <w:rFonts w:cs="Times New Roman" w:ascii="Times New Roman" w:hAnsi="Times New Roman"/>
              </w:rPr>
              <w:t>September 28, 2025</w:t>
            </w:r>
            <w:r>
              <w:rPr>
                <w:sz w:val="24"/>
                <w:rFonts w:cs="Times New Roman" w:ascii="Times New Roman" w:hAnsi="Times New Roman"/>
              </w:rPr>
              <w:fldChar w:fldCharType="end"/>
            </w:r>
          </w:p>
        </w:tc>
      </w:tr>
    </w:tbl>
    <w:p>
      <w:pPr>
        <w:pStyle w:val="Body"/>
        <w:ind w:start="0" w:end="0"/>
        <w:rPr>
          <w:rFonts w:ascii="Times New Roman" w:hAnsi="Times New Roman" w:cs="Times New Roman"/>
          <w:sz w:val="24"/>
        </w:rPr>
      </w:pPr>
      <w:r>
        <w:rPr>
          <w:rFonts w:cs="Times New Roman" w:ascii="Times New Roman" w:hAnsi="Times New Roman"/>
          <w:sz w:val="24"/>
        </w:rPr>
      </w:r>
      <w:bookmarkStart w:id="1" w:name="StartOfMemo"/>
      <w:bookmarkStart w:id="2" w:name="StartOfMemo"/>
      <w:bookmarkEnd w:id="2"/>
    </w:p>
    <w:p>
      <w:pPr>
        <w:pStyle w:val="Body"/>
        <w:ind w:firstLine="720" w:start="-720" w:end="0"/>
        <w:rPr>
          <w:rFonts w:ascii="Times New Roman" w:hAnsi="Times New Roman" w:cs="Times New Roman"/>
          <w:sz w:val="24"/>
        </w:rPr>
      </w:pPr>
      <w:r>
        <w:rPr>
          <w:rFonts w:cs="Times New Roman" w:ascii="Times New Roman" w:hAnsi="Times New Roman"/>
          <w:sz w:val="24"/>
        </w:rPr>
        <w:t>In anticipation of the upcoming Enron Corp. board meeting to discuss Project Canary, I have prepared the following memorandum for your information.</w:t>
      </w:r>
    </w:p>
    <w:p>
      <w:pPr>
        <w:pStyle w:val="Body"/>
        <w:ind w:start="0" w:end="0"/>
        <w:rPr>
          <w:rFonts w:ascii="Times New Roman" w:hAnsi="Times New Roman" w:cs="Times New Roman"/>
          <w:sz w:val="24"/>
        </w:rPr>
      </w:pPr>
      <w:r>
        <w:rPr>
          <w:rFonts w:cs="Times New Roman" w:ascii="Times New Roman" w:hAnsi="Times New Roman"/>
          <w:sz w:val="24"/>
        </w:rPr>
      </w:r>
    </w:p>
    <w:p>
      <w:pPr>
        <w:pStyle w:val="Body"/>
        <w:ind w:hanging="720" w:start="0" w:end="0"/>
        <w:rPr>
          <w:rFonts w:ascii="Times New Roman" w:hAnsi="Times New Roman" w:cs="Times New Roman"/>
          <w:b/>
          <w:bCs/>
          <w:sz w:val="24"/>
          <w:u w:val="single"/>
        </w:rPr>
      </w:pPr>
      <w:r>
        <w:rPr>
          <w:rFonts w:cs="Times New Roman" w:ascii="Times New Roman" w:hAnsi="Times New Roman"/>
          <w:sz w:val="24"/>
        </w:rPr>
        <w:t>A.</w:t>
        <w:tab/>
      </w:r>
      <w:r>
        <w:rPr>
          <w:rFonts w:cs="Times New Roman" w:ascii="Times New Roman" w:hAnsi="Times New Roman"/>
          <w:sz w:val="24"/>
          <w:u w:val="single"/>
        </w:rPr>
        <w:t>Background</w:t>
      </w:r>
    </w:p>
    <w:p>
      <w:pPr>
        <w:pStyle w:val="Body"/>
        <w:rPr>
          <w:rFonts w:ascii="Times New Roman" w:hAnsi="Times New Roman" w:cs="Times New Roman"/>
          <w:b/>
          <w:bCs/>
          <w:sz w:val="24"/>
          <w:u w:val="single"/>
        </w:rPr>
      </w:pPr>
      <w:r>
        <w:rPr>
          <w:rFonts w:cs="Times New Roman" w:ascii="Times New Roman" w:hAnsi="Times New Roman"/>
          <w:b/>
          <w:bCs/>
          <w:sz w:val="24"/>
          <w:u w:val="single"/>
        </w:rPr>
      </w:r>
    </w:p>
    <w:p>
      <w:pPr>
        <w:pStyle w:val="BodyText"/>
        <w:ind w:firstLine="720" w:start="-720" w:end="0"/>
        <w:rPr/>
      </w:pPr>
      <w:r>
        <w:rPr/>
        <w:t>Enron Industrial Markets LLC (“EIM”) proposes to submit a binding offer for the acquisition of the Celgar pulp mill located in Castlegar, British Columbia (the “Mill”), and related working inventory.  The Mill, located on the Columbia River in the Kootenay region of interior southeast British Columbia approximately 20 miles from the US border, is a state-of-the art 420,000 tons per year Northern Bleached Softwood Kraft (NBSK) pulp mill. The Mill was substantially rebuilt in 1993 on a 30-year-old mill site.  The Mill is owned by Stone Venepal (Celgar) Pulp Inc. (the “Company”) which is being managed by KPMG Inc. as receiver appointed by instrument by The Royal Bank of Canada and National Westminster Bank Plc (the “Banks”).  The proposed acquisition of the Celgar Mill is part of EIM’s overall strategy to acquire a long position in NBSK market pulp in western North America through control of its production. On November 13, 2000, EIM submitted a non-binding indication of interest for the purchase of the Mill assets in the range of US$290 million to $320 million.  On the basis of our indication of interest, we were invited to the second round of bidding and commenced due diligence.  The deadline for submission of binding offers for the Mill is Friday, December 15</w:t>
      </w:r>
      <w:r>
        <w:rPr>
          <w:vertAlign w:val="superscript"/>
        </w:rPr>
        <w:t>th</w:t>
      </w:r>
      <w:r>
        <w:rPr/>
        <w:t>.  If our bid is accepted, it is estimated that the acquisition will close on or about February 15, 2001.  While the acquisition of the Mill had been originally offered as a sale of Mill assets, EIM and KPMG have discussed the possibility of structuring the transaction as a share acquisition in order to benefit from significant net operating losses (NOLs) at the Company. (See “Taxes” discussion at B.7 below.)</w:t>
      </w:r>
    </w:p>
    <w:p>
      <w:pPr>
        <w:pStyle w:val="BodyText"/>
        <w:ind w:firstLine="720" w:start="-720" w:end="-900"/>
        <w:rPr/>
      </w:pPr>
      <w:r>
        <w:rPr/>
      </w:r>
    </w:p>
    <w:p>
      <w:pPr>
        <w:pStyle w:val="BodyText"/>
        <w:ind w:firstLine="720" w:start="-720" w:end="0"/>
        <w:rPr/>
      </w:pPr>
      <w:r>
        <w:rPr/>
        <w:t>In light of its current receivership status, whether the acquisition is effected as an asset or share purchase court approval will be required to complete the transaction.  In the case of an asset transaction, the purchaser will seeks a “vesting order” of the provincial court vesting all assets in the purchaser free and clear of all liens, charges or encumbrances.  In the case of a share purchase, the court will need to approve any proposed settlement reached between the receiver/trustee-in-bankruptcy and unsecured creditors in order to allow the purchaser to take control of the Company’s assets free and clear of liens, charges and encumbrances.  Obtaining court approval in either instance will be a condition precedent to closing obtained immediately</w:t>
      </w:r>
    </w:p>
    <w:p>
      <w:pPr>
        <w:pStyle w:val="BodyText"/>
        <w:ind w:start="-720" w:end="0"/>
        <w:rPr/>
      </w:pPr>
      <w:r>
        <w:rPr/>
        <w:t xml:space="preserve">after obtaining Canadian competition act approval, US Hart-Scott-Rodino approval and Investment Canada Act (foreign ownership) approval. </w:t>
      </w:r>
    </w:p>
    <w:p>
      <w:pPr>
        <w:pStyle w:val="BodyText"/>
        <w:ind w:firstLine="720" w:start="-720" w:end="-900"/>
        <w:rPr/>
      </w:pPr>
      <w:r>
        <w:rPr/>
      </w:r>
    </w:p>
    <w:p>
      <w:pPr>
        <w:pStyle w:val="BodyText"/>
        <w:ind w:firstLine="720" w:start="-720" w:end="-900"/>
        <w:rPr/>
      </w:pPr>
      <w:r>
        <w:rPr/>
      </w:r>
    </w:p>
    <w:p>
      <w:pPr>
        <w:pStyle w:val="BodyText"/>
        <w:ind w:firstLine="720" w:start="-720" w:end="-900"/>
        <w:rPr/>
      </w:pPr>
      <w:r>
        <w:rPr/>
      </w:r>
    </w:p>
    <w:p>
      <w:pPr>
        <w:pStyle w:val="BodyText"/>
        <w:numPr>
          <w:ilvl w:val="0"/>
          <w:numId w:val="2"/>
        </w:numPr>
        <w:ind w:hanging="720" w:start="0" w:end="-900"/>
        <w:rPr/>
      </w:pPr>
      <w:r>
        <w:rPr>
          <w:u w:val="single"/>
        </w:rPr>
        <w:t>Legal Risks</w:t>
      </w:r>
    </w:p>
    <w:p>
      <w:pPr>
        <w:pStyle w:val="BodyText"/>
        <w:ind w:start="-720" w:end="-900"/>
        <w:rPr/>
      </w:pPr>
      <w:r>
        <w:rPr/>
      </w:r>
    </w:p>
    <w:p>
      <w:pPr>
        <w:pStyle w:val="BodyText"/>
        <w:ind w:firstLine="720" w:start="-720" w:end="0"/>
        <w:rPr/>
      </w:pPr>
      <w:r>
        <w:rPr/>
        <w:t>Overall, the legal risks associated with the acquisition of the Mill are low.  The following discussion is based on due diligence conducted by Davis &amp; Co., our outside counsel, Pilko &amp; Associates, Inc., environmental consultants, AGRA Simons, engineering consultants and myself.</w:t>
        <w:tab/>
      </w:r>
    </w:p>
    <w:p>
      <w:pPr>
        <w:pStyle w:val="BodyText"/>
        <w:ind w:firstLine="720" w:start="-720" w:end="-900"/>
        <w:rPr/>
      </w:pPr>
      <w:r>
        <w:rPr/>
      </w:r>
    </w:p>
    <w:p>
      <w:pPr>
        <w:pStyle w:val="BodyText"/>
        <w:ind w:firstLine="720" w:start="-720" w:end="0"/>
        <w:rPr/>
      </w:pPr>
      <w:r>
        <w:rPr>
          <w:i/>
          <w:iCs/>
        </w:rPr>
        <w:t xml:space="preserve">1.   </w:t>
      </w:r>
      <w:r>
        <w:rPr>
          <w:i/>
          <w:iCs/>
          <w:u w:val="single"/>
        </w:rPr>
        <w:t>Fiber Supply</w:t>
      </w:r>
      <w:r>
        <w:rPr/>
        <w:t>.   Fiber, in the form of residual chips (woodchips resulting from the sawing of logs into lumber) and pulplogs (inferior grades of logs unsuitable for lumber which are chipped whole), is the feedstock for a pulp mill, and, therefore, secure fiber supply is a major concern.  The Company does not own or control and forest lands, and all fiber is obtained contractually from third-party sources.  Nevertheless, the supply of fiber to the Mill appears to be relatively secure, particularly in light of the diversity of supply sources.  The Mill consumes 870,000 Bone Dry Units (BDUs) of chips per year and currently approximately 930,000 BDUs per year are secured by contract.  The Company’s fiber supply manager has prudently sourced residual chips from sawmills in the US with approximately 24% of the Mill’s fiber coming from US sources.  Additional flexibility is provided by the Mill’s upgraded woodroom, where pulplogs can be chipped on-site.</w:t>
      </w:r>
    </w:p>
    <w:p>
      <w:pPr>
        <w:pStyle w:val="BodyText"/>
        <w:ind w:firstLine="720" w:start="-720" w:end="-900"/>
        <w:rPr/>
      </w:pPr>
      <w:r>
        <w:rPr/>
      </w:r>
    </w:p>
    <w:p>
      <w:pPr>
        <w:pStyle w:val="BodyText"/>
        <w:ind w:firstLine="720" w:start="-720" w:end="0"/>
        <w:rPr/>
      </w:pPr>
      <w:r>
        <w:rPr/>
        <w:t>Previously, there had been some concern about the security of fiber supply from Pope &amp; Talbott, the Mill’s principal supplier.  Approximately 210,000 BDUs are obtained from three Pope &amp; Talbott sawmills, including 130,000 BDUs from their Castlegar sawmill adjoining the Mill.  As a result of The Company’s insolvency, Pope &amp; Talbott originally indicated that they would not be renewing their fiber supply agreements with the Mill when they expired in 2003.  However, due to the fact that it is economically unfeasible to divert residual chips from Pope &amp; Talbott’s Castlegar sawmill to any other source, Pope &amp; Talbott are presently negotiating the renewal of these fiber supply agreements with immaterial reductions in volumes.  In addition, the Company’s fiber supply manager has completed a feasibility study as to replacing the entire volume of Pope &amp; Talbott’s committed fiber supply from other sources, and has found that the Pope &amp; Talbot volumes can be replaced at immaterial incremental costs to the Mill.</w:t>
      </w:r>
    </w:p>
    <w:p>
      <w:pPr>
        <w:pStyle w:val="BodyText"/>
        <w:ind w:firstLine="720" w:start="-720" w:end="-900"/>
        <w:rPr/>
      </w:pPr>
      <w:r>
        <w:rPr/>
      </w:r>
    </w:p>
    <w:p>
      <w:pPr>
        <w:pStyle w:val="BodyText"/>
        <w:ind w:firstLine="720" w:start="-720" w:end="0"/>
        <w:rPr/>
      </w:pPr>
      <w:r>
        <w:rPr/>
        <w:t>A significant volume of fiber that supplies the Mill is harvested from Crown lands pursuant to tree farm licenses with the BC Government.  Each Timber Supply Area (TSA) in BC is reviewed every five years by the Chief Forester of the Province with a view to setting the Annual Allowable Cut (AAC) for the area. The Nelson Forest Region, which is the TSA that principally supplies the Mill, has had the amount of its AAC significantly reduced (by about 10%) in review period ending 1995.  The Nelson Forest Region is currently undergoing a timber supply review, but projected AAC reductions are less significant (in the order of 5% or less).</w:t>
      </w:r>
    </w:p>
    <w:p>
      <w:pPr>
        <w:pStyle w:val="BodyText"/>
        <w:ind w:firstLine="720" w:start="-720" w:end="-900"/>
        <w:rPr/>
      </w:pPr>
      <w:r>
        <w:rPr/>
      </w:r>
    </w:p>
    <w:p>
      <w:pPr>
        <w:pStyle w:val="BodyText"/>
        <w:ind w:firstLine="720" w:start="-720" w:end="0"/>
        <w:rPr/>
      </w:pPr>
      <w:r>
        <w:rPr/>
        <w:t>The implementation of the Forest Practices Code in 1995 had significant impact on fiber supply and logging costs in its early years of implementation.  However, some of the harsher aspects of the Code have been ameliorated and operators have become more used to working within its guidelines.  As a result the effect of the Code on timber supply has been less significant in recent years.</w:t>
      </w:r>
    </w:p>
    <w:p>
      <w:pPr>
        <w:pStyle w:val="BodyText"/>
        <w:ind w:firstLine="720" w:start="-720" w:end="-900"/>
        <w:rPr/>
      </w:pPr>
      <w:r>
        <w:rPr/>
      </w:r>
    </w:p>
    <w:p>
      <w:pPr>
        <w:pStyle w:val="BodyText"/>
        <w:ind w:firstLine="720" w:start="-720" w:end="0"/>
        <w:rPr/>
      </w:pPr>
      <w:r>
        <w:rPr/>
        <w:t xml:space="preserve">Most land in British Columbia is subject to aboriginal land claims from First Nations.  Formal treaty negotiations with First Nations have been established and progressing slowly.  It is expected that land claims will ultimately be resolved with settlement in the form of land and cash.  It is unclear what the impact treaty settlement with First Nations will have on fiber supply, since it is expected that First Nations will wish to exploit their timberlands to some degree. Finally, there is nothing unusual or pressing about the First Nation’s land claims in the Nelson Forest Region. </w:t>
      </w:r>
    </w:p>
    <w:p>
      <w:pPr>
        <w:pStyle w:val="BodyText"/>
        <w:ind w:firstLine="720" w:start="-720" w:end="-900"/>
        <w:rPr/>
      </w:pPr>
      <w:r>
        <w:rPr/>
      </w:r>
    </w:p>
    <w:p>
      <w:pPr>
        <w:pStyle w:val="BodyText"/>
        <w:ind w:firstLine="720" w:start="-720" w:end="0"/>
        <w:rPr/>
      </w:pPr>
      <w:r>
        <w:rPr/>
        <w:t>The current Softwood Lumber Agreement between Canada and the US is set to expire in April 2001.  The agreement has had the effect of limiting export of lumber from Canada to the US and resulted in increase stumpage rates (basically a tax “per stump” for harvesting trees) in BC. The SLA is believed to have little impact on the supply of residual chips to the Mill, principally because the Mill’s significant US supplies provide a natural hedge against the SLA’s effects.</w:t>
      </w:r>
    </w:p>
    <w:p>
      <w:pPr>
        <w:pStyle w:val="BodyText"/>
        <w:ind w:firstLine="720" w:start="-720" w:end="-900"/>
        <w:rPr/>
      </w:pPr>
      <w:r>
        <w:rPr/>
      </w:r>
    </w:p>
    <w:p>
      <w:pPr>
        <w:pStyle w:val="BodyText"/>
        <w:ind w:firstLine="720" w:start="-720" w:end="0"/>
        <w:rPr/>
      </w:pPr>
      <w:r>
        <w:rPr/>
        <w:t>In case the acquisition is structured as an asset acquisition, the assignment of the Company’s fiber supply agreements will be an issue.  Assignment of all fiber supply agreements (and all other material contracts) will be a condition precedent to closing.  There are no change of control provisions in the fiber supply agreements that would complicate a share acquisition.</w:t>
      </w:r>
    </w:p>
    <w:p>
      <w:pPr>
        <w:pStyle w:val="BodyText"/>
        <w:ind w:firstLine="720" w:start="-720" w:end="-900"/>
        <w:rPr/>
      </w:pPr>
      <w:r>
        <w:rPr/>
      </w:r>
    </w:p>
    <w:p>
      <w:pPr>
        <w:pStyle w:val="BodyText"/>
        <w:ind w:firstLine="720" w:start="-720" w:end="0"/>
        <w:rPr/>
      </w:pPr>
      <w:r>
        <w:rPr>
          <w:i/>
          <w:iCs/>
        </w:rPr>
        <w:t xml:space="preserve">2.  </w:t>
      </w:r>
      <w:r>
        <w:rPr>
          <w:i/>
          <w:iCs/>
          <w:u w:val="single"/>
        </w:rPr>
        <w:t>Environmental</w:t>
      </w:r>
      <w:r>
        <w:rPr>
          <w:i/>
          <w:iCs/>
        </w:rPr>
        <w:t xml:space="preserve">.  </w:t>
      </w:r>
      <w:r>
        <w:rPr/>
        <w:t xml:space="preserve"> The principal environmental issue pertaining to the Mill relates to the regulation of Adsorbable Oxygen Halides (AOX), a chemical descriptor of dioxins and furans, known contaminants associated with the bleaching process in kraft pulp mills.  Currently, British Columbia has a regulation in place requiring zero AOX discharge by 2002.  Due to its modern bleaching system, Celgar’s AOX emissions are among the very lowest of any kraft pulp mill.  However, no pulp mill can achieve zero AOX emissions under current technology.  Forestry industry associations have stated without hyperbole that the implementation of the zero AOX regulation would require shuttering all BC pulp mills with disastrous economic consequences. On a political level, zero AOX regulation had been promulgated by the current New Democratic Party (NDP) provincial government that, at very low support levels in the polls is expected to be voted out of office in the March 2001 provincial elections.  The Liberal Party, likely to succeed in provincial government, has stated publicly that it will repeal the zero AOX emission regulation.</w:t>
      </w:r>
    </w:p>
    <w:p>
      <w:pPr>
        <w:pStyle w:val="BodyText"/>
        <w:ind w:firstLine="720" w:start="-720" w:end="-900"/>
        <w:rPr/>
      </w:pPr>
      <w:r>
        <w:rPr/>
      </w:r>
    </w:p>
    <w:p>
      <w:pPr>
        <w:pStyle w:val="BodyText"/>
        <w:ind w:firstLine="720" w:start="-720" w:end="0"/>
        <w:rPr/>
      </w:pPr>
      <w:r>
        <w:rPr/>
        <w:t>As with any 30-year-old industrial site, there may be historical land and groundwater contamination that have not been independently identified in the course of non-intrusive Phase I environmental studies of the Mill.  Indeed, groundwater contamination in the form of leachate from an older landfill and soil contamination in connection with a bunker C oil site have been identified.  These sites, while requiring remediation at some point in the future, are presently being properly managed and environmental authorities have not mandated remediation.</w:t>
      </w:r>
    </w:p>
    <w:p>
      <w:pPr>
        <w:pStyle w:val="BodyText"/>
        <w:ind w:firstLine="720" w:start="-720" w:end="-900"/>
        <w:rPr/>
      </w:pPr>
      <w:r>
        <w:rPr/>
      </w:r>
    </w:p>
    <w:p>
      <w:pPr>
        <w:pStyle w:val="BodyText"/>
        <w:ind w:firstLine="720" w:start="-720" w:end="0"/>
        <w:rPr/>
      </w:pPr>
      <w:r>
        <w:rPr/>
        <w:t xml:space="preserve">Large quantities of asbestos are present on-site, principally in the area of the old mill.  According to our environmental consultant, this material is being managed properly according to the Mill’s Asbestos Control Program.  Costs of removal or encapsulation have budgeted into projected operating costs.  While a review of the Workers Compensation Board records has not been completed at this writing, there have been no allegations of worker exposure leading to health effects.  </w:t>
      </w:r>
    </w:p>
    <w:p>
      <w:pPr>
        <w:pStyle w:val="BodyText"/>
        <w:ind w:firstLine="720" w:start="-720" w:end="-900"/>
        <w:rPr/>
      </w:pPr>
      <w:r>
        <w:rPr/>
      </w:r>
    </w:p>
    <w:p>
      <w:pPr>
        <w:pStyle w:val="BodyText"/>
        <w:ind w:firstLine="720" w:start="-720" w:end="0"/>
        <w:rPr/>
      </w:pPr>
      <w:r>
        <w:rPr>
          <w:i/>
          <w:iCs/>
        </w:rPr>
        <w:t xml:space="preserve">3.  </w:t>
      </w:r>
      <w:r>
        <w:rPr>
          <w:i/>
          <w:iCs/>
          <w:u w:val="single"/>
        </w:rPr>
        <w:t>Union/Labor/Benefits</w:t>
      </w:r>
      <w:r>
        <w:rPr>
          <w:i/>
          <w:iCs/>
        </w:rPr>
        <w:t xml:space="preserve">.   </w:t>
      </w:r>
      <w:r>
        <w:rPr/>
        <w:t>Approximately 328 of Celgar’s total workforce of 426 employees are union members.  The Pulp, Paper and Woodworkers of Canada, Local #1 is currently certified as the union representing all employees at Celgar, other than management employees. Whether the transaction is structured as a stock or asset acquisition, the acquiring entity will have successorship obligations and liabilities to the union under Celgar’s collective bargaining agreement (CBA) with the union.  The current CBA, which is effective until 2003, is a “me-too” agreement adopted as part of the pattern negotiations between the Union and BC pulp operators, based on the CBA agreed with Fletcher Challenge Canada Ltd. in 1996. The CBA is, therefore, customary to the industry and unremarkable.  It should be noted that the current CBA allows for “flex work rule” allowing management to reassign workers to a wider variety of tasks after sufficient training.  While authorized, flex rules have not been implemented at Celgar, due to the lack of management resources and commitment during its present receivership.</w:t>
      </w:r>
    </w:p>
    <w:p>
      <w:pPr>
        <w:pStyle w:val="BodyText"/>
        <w:ind w:firstLine="720" w:start="-720" w:end="-900"/>
        <w:rPr/>
      </w:pPr>
      <w:r>
        <w:rPr/>
      </w:r>
    </w:p>
    <w:p>
      <w:pPr>
        <w:pStyle w:val="BodyText"/>
        <w:ind w:firstLine="720" w:start="-720" w:end="0"/>
        <w:rPr/>
      </w:pPr>
      <w:r>
        <w:rPr>
          <w:i/>
          <w:iCs/>
        </w:rPr>
        <w:t xml:space="preserve">4.  </w:t>
      </w:r>
      <w:r>
        <w:rPr>
          <w:i/>
          <w:iCs/>
          <w:u w:val="single"/>
        </w:rPr>
        <w:t>Real Estate</w:t>
      </w:r>
      <w:r>
        <w:rPr>
          <w:i/>
          <w:iCs/>
        </w:rPr>
        <w:t xml:space="preserve">.  </w:t>
      </w:r>
      <w:r>
        <w:rPr/>
        <w:t>The majority of the Mill’s real estate is held in fee simple.  Lien searches have uncovered nothing out of the ordinary.  Certain creditor liens will be removed as a result of court approval in bankruptcy.</w:t>
      </w:r>
    </w:p>
    <w:p>
      <w:pPr>
        <w:pStyle w:val="BodyText"/>
        <w:ind w:firstLine="720" w:start="-720" w:end="-900"/>
        <w:rPr/>
      </w:pPr>
      <w:r>
        <w:rPr/>
      </w:r>
    </w:p>
    <w:p>
      <w:pPr>
        <w:pStyle w:val="BodyText"/>
        <w:ind w:firstLine="720" w:start="-720" w:end="0"/>
        <w:rPr/>
      </w:pPr>
      <w:r>
        <w:rPr>
          <w:i/>
          <w:iCs/>
        </w:rPr>
        <w:t xml:space="preserve">5.  </w:t>
      </w:r>
      <w:r>
        <w:rPr>
          <w:i/>
          <w:iCs/>
          <w:u w:val="single"/>
        </w:rPr>
        <w:t>Material Contracts</w:t>
      </w:r>
      <w:r>
        <w:rPr>
          <w:i/>
          <w:iCs/>
        </w:rPr>
        <w:t xml:space="preserve">.  </w:t>
      </w:r>
      <w:r>
        <w:rPr/>
        <w:t>A number of material contracts, including agreements for the supply of process chemicals, trucking and rail services, have been identified.  Again, in the case of an asset transaction, these contracts will need to be assigned to the purchaser, which assignment will be a condition precedent to closing.  None of the identified material contracts have change of control provisions.</w:t>
      </w:r>
    </w:p>
    <w:p>
      <w:pPr>
        <w:pStyle w:val="BodyText"/>
        <w:ind w:firstLine="720" w:start="-720" w:end="-900"/>
        <w:rPr/>
      </w:pPr>
      <w:r>
        <w:rPr/>
      </w:r>
    </w:p>
    <w:p>
      <w:pPr>
        <w:pStyle w:val="BodyText"/>
        <w:ind w:firstLine="720" w:start="-720" w:end="0"/>
        <w:rPr/>
      </w:pPr>
      <w:r>
        <w:rPr>
          <w:i/>
          <w:iCs/>
        </w:rPr>
        <w:t xml:space="preserve">6.  </w:t>
      </w:r>
      <w:r>
        <w:rPr>
          <w:i/>
          <w:iCs/>
          <w:u w:val="single"/>
        </w:rPr>
        <w:t>Litigation</w:t>
      </w:r>
      <w:r>
        <w:rPr>
          <w:i/>
          <w:iCs/>
        </w:rPr>
        <w:t xml:space="preserve">.  </w:t>
      </w:r>
      <w:r>
        <w:rPr/>
        <w:t xml:space="preserve">Litigation searches of local courts are on going.  Nothing material has been discovered to date.  </w:t>
      </w:r>
    </w:p>
    <w:p>
      <w:pPr>
        <w:pStyle w:val="BodyText"/>
        <w:ind w:firstLine="720" w:start="-720" w:end="-900"/>
        <w:rPr/>
      </w:pPr>
      <w:r>
        <w:rPr/>
      </w:r>
    </w:p>
    <w:p>
      <w:pPr>
        <w:pStyle w:val="BodyText"/>
        <w:ind w:firstLine="720" w:start="-720" w:end="0"/>
        <w:rPr/>
      </w:pPr>
      <w:r>
        <w:rPr>
          <w:i/>
          <w:iCs/>
        </w:rPr>
        <w:t xml:space="preserve">7.  </w:t>
      </w:r>
      <w:r>
        <w:rPr>
          <w:i/>
          <w:iCs/>
          <w:u w:val="single"/>
        </w:rPr>
        <w:t>Taxes</w:t>
      </w:r>
      <w:r>
        <w:rPr>
          <w:i/>
          <w:iCs/>
        </w:rPr>
        <w:t>.</w:t>
      </w:r>
      <w:r>
        <w:rPr/>
        <w:t xml:space="preserve">  No notices of assessment or other tax agency orders are in place which would extend the statute of limitations for taxes.  As a result, all tax years before 1996 are effectively closed.  It should be noted that the receiver has taken the view that, in light of its insolvency, the Company was not obligated to file tax returns since 1997.  As a condition to closing, we will require that the Company file returns for tax years 1997, 1998 and 1999.  There is expected to be no interest obligation and only minimal statutory penalties for non-filing.</w:t>
      </w:r>
    </w:p>
    <w:p>
      <w:pPr>
        <w:pStyle w:val="BodyText"/>
        <w:ind w:firstLine="720" w:start="-720" w:end="-900"/>
        <w:rPr>
          <w:i/>
          <w:i/>
          <w:iCs/>
        </w:rPr>
      </w:pPr>
      <w:r>
        <w:rPr>
          <w:i/>
          <w:iCs/>
        </w:rPr>
      </w:r>
    </w:p>
    <w:p>
      <w:pPr>
        <w:pStyle w:val="BodyText"/>
        <w:ind w:firstLine="720" w:start="-720" w:end="0"/>
        <w:rPr/>
      </w:pPr>
      <w:r>
        <w:rPr/>
        <w:t>The EIM working group is currently studying the structuring of the transaction as a share/debt acquisition in order to receive the benefit of the Company’s substantial NOLs, currently valued at an NPV of about $20 million.  The proposal involves acquiring the shares of the Company for $1.00 and acquisition of the Bank’s debt for the proposed purchase price.  A share purchase would require negotiating the purchase of shares from all three shareholders and making a settlement with the Company’s unsecured creditors.  Some, but clearly not all, of this work had been done in connection with the recent failed purchase to a former proposed buyer.  Outside counsel is of the opinion that a share purchase bears the same risk profile as an asset transaction in light of the successor liabilities of an asset purchaser.</w:t>
      </w:r>
    </w:p>
    <w:p>
      <w:pPr>
        <w:pStyle w:val="BodyText"/>
        <w:ind w:firstLine="720" w:start="-720" w:end="-900"/>
        <w:rPr/>
      </w:pPr>
      <w:r>
        <w:rPr/>
      </w:r>
    </w:p>
    <w:p>
      <w:pPr>
        <w:pStyle w:val="BodyText"/>
        <w:ind w:firstLine="720" w:start="-720" w:end="0"/>
        <w:rPr/>
      </w:pPr>
      <w:r>
        <w:rPr>
          <w:i/>
          <w:iCs/>
        </w:rPr>
        <w:t xml:space="preserve">8.  </w:t>
      </w:r>
      <w:r>
        <w:rPr>
          <w:i/>
          <w:iCs/>
          <w:u w:val="single"/>
        </w:rPr>
        <w:t>Limited Liability</w:t>
      </w:r>
      <w:r>
        <w:rPr>
          <w:i/>
          <w:iCs/>
        </w:rPr>
        <w:t>.</w:t>
      </w:r>
      <w:r>
        <w:rPr/>
        <w:t xml:space="preserve">  KPMG is listed as the seller-side party to the proposed purchase agreement. Under BC law, KPMG, in its capacity as receiver-manager of Celgar, is not personally liable under any contract.  Liability under contract is limited to the assets under its control.  As a practical matter, upon a sale of assets, KPMG will immediately disperse sale proceeds to the Banks and, therefore, will have no assets under its control.  As a result, any representations, warranties, covenants and indemnification under the purchase agreement would be essentially worthless unless some mechanism can be built into those agreements to provide post-closing recourse.  We intend to re-draft the proposed purchase agreement to add the Banks as parties.  Anticipating the Banks’ negative reaction to any lingering contingent liabilities these risks will need to be handled either as a purchase price holdback or a reduction in purchase price.</w:t>
      </w:r>
    </w:p>
    <w:sectPr>
      <w:type w:val="nextPage"/>
      <w:pgSz w:w="12240" w:h="15840"/>
      <w:pgMar w:left="1800" w:right="19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9"/>
      <w:numFmt w:val="lowerLetter"/>
      <w:lvlText w:val="%1."/>
      <w:lvlJc w:val="start"/>
      <w:pPr>
        <w:tabs>
          <w:tab w:val="num" w:pos="720"/>
        </w:tabs>
        <w:ind w:start="720" w:hanging="360"/>
      </w:pPr>
      <w:rPr/>
    </w:lvl>
  </w:abstractNum>
  <w:abstractNum w:abstractNumId="2">
    <w:lvl w:ilvl="0">
      <w:start w:val="2"/>
      <w:numFmt w:val="upperLetter"/>
      <w:lvlText w:val="%1."/>
      <w:lvlJc w:val="start"/>
      <w:pPr>
        <w:tabs>
          <w:tab w:val="num" w:pos="0"/>
        </w:tabs>
        <w:ind w:start="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80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Arial" w:hAnsi="Arial" w:cs="Arial"/>
      <w:szCs w:val="20"/>
    </w:rPr>
  </w:style>
  <w:style w:type="paragraph" w:styleId="Subject">
    <w:name w:val="Subject"/>
    <w:basedOn w:val="Normal"/>
    <w:qFormat/>
    <w:pPr>
      <w:overflowPunct w:val="false"/>
      <w:autoSpaceDE w:val="false"/>
      <w:textAlignment w:val="baseline"/>
    </w:pPr>
    <w:rPr>
      <w:rFonts w:ascii="Arial" w:hAnsi="Arial" w:cs="Arial"/>
      <w:sz w:val="20"/>
      <w:szCs w:val="20"/>
    </w:rPr>
  </w:style>
  <w:style w:type="paragraph" w:styleId="Date">
    <w:name w:val="Date"/>
    <w:basedOn w:val="Normal"/>
    <w:qFormat/>
    <w:pPr>
      <w:overflowPunct w:val="false"/>
      <w:autoSpaceDE w:val="false"/>
      <w:textAlignment w:val="baseline"/>
    </w:pPr>
    <w:rPr>
      <w:rFonts w:ascii="Arial" w:hAnsi="Arial" w:cs="Arial"/>
      <w:sz w:val="20"/>
      <w:szCs w:val="20"/>
    </w:rPr>
  </w:style>
  <w:style w:type="paragraph" w:styleId="To">
    <w:name w:val="To"/>
    <w:basedOn w:val="Normal"/>
    <w:qFormat/>
    <w:pPr>
      <w:overflowPunct w:val="false"/>
      <w:autoSpaceDE w:val="false"/>
      <w:textAlignment w:val="baseline"/>
    </w:pPr>
    <w:rPr>
      <w:rFonts w:ascii="Arial" w:hAnsi="Arial" w:cs="Arial"/>
      <w:sz w:val="20"/>
      <w:szCs w:val="20"/>
    </w:rPr>
  </w:style>
  <w:style w:type="paragraph" w:styleId="From">
    <w:name w:val="From"/>
    <w:basedOn w:val="Normal"/>
    <w:qFormat/>
    <w:pPr>
      <w:overflowPunct w:val="false"/>
      <w:autoSpaceDE w:val="false"/>
      <w:textAlignment w:val="baseline"/>
    </w:pPr>
    <w:rPr>
      <w:rFonts w:ascii="Arial" w:hAnsi="Arial" w:cs="Arial"/>
      <w:sz w:val="20"/>
      <w:szCs w:val="20"/>
    </w:rPr>
  </w:style>
  <w:style w:type="paragraph" w:styleId="Body">
    <w:name w:val="Body"/>
    <w:basedOn w:val="Normal"/>
    <w:qFormat/>
    <w:pPr>
      <w:overflowPunct w:val="false"/>
      <w:autoSpaceDE w:val="false"/>
      <w:ind w:hanging="0" w:start="72" w:end="0"/>
      <w:textAlignment w:val="baseline"/>
    </w:pPr>
    <w:rPr>
      <w:rFonts w:ascii="Arial" w:hAnsi="Arial" w:cs="Arial"/>
      <w:color w:val="000080"/>
      <w:sz w:val="20"/>
      <w:szCs w:val="20"/>
    </w:rPr>
  </w:style>
  <w:style w:type="paragraph" w:styleId="Department">
    <w:name w:val="Department"/>
    <w:basedOn w:val="Normal"/>
    <w:qFormat/>
    <w:pPr>
      <w:overflowPunct w:val="false"/>
      <w:autoSpaceDE w:val="false"/>
      <w:textAlignment w:val="baseline"/>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2000-12-10T10:41:00Z</dcterms:created>
  <dc:creator>pdelvec</dc:creator>
  <dc:description/>
  <dc:language>en-CA</dc:language>
  <cp:lastModifiedBy>pdelvec</cp:lastModifiedBy>
  <cp:lastPrinted>2000-12-10T10:59:00Z</cp:lastPrinted>
  <dcterms:modified xsi:type="dcterms:W3CDTF">2000-12-10T15:53:00Z</dcterms:modified>
  <cp:revision>2</cp:revision>
  <dc:subject/>
  <dc:title> </dc:title>
</cp:coreProperties>
</file>