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0" w:leader="none"/>
        </w:tabs>
        <w:ind w:hanging="3600" w:start="3600" w:end="0"/>
        <w:rPr/>
      </w:pPr>
      <w:r>
        <w:rPr>
          <w:rFonts w:cs="Arial" w:ascii="Arial" w:hAnsi="Arial"/>
          <w:b/>
          <w:sz w:val="22"/>
        </w:rPr>
        <w:t>Registration Provisions:</w:t>
        <w:tab/>
        <w:t xml:space="preserve">If Party A purchases securities of Party B to hedge Party A’s risks relating to this equity derivatives transaction and resells those securities to a person or persons other than Party B, at the time of such resales Party B shall make a registration statement available to Party A for the registration of such resales </w:t>
      </w:r>
      <w:r>
        <w:rPr>
          <w:rFonts w:cs="Arial" w:ascii="Arial" w:hAnsi="Arial"/>
          <w:b/>
          <w:i/>
          <w:sz w:val="22"/>
        </w:rPr>
        <w:t>provided that</w:t>
      </w:r>
      <w:r>
        <w:rPr>
          <w:rFonts w:cs="Arial" w:ascii="Arial" w:hAnsi="Arial"/>
          <w:b/>
          <w:sz w:val="22"/>
        </w:rPr>
        <w:t xml:space="preserve"> Party B will not be required to make such registration statement available if, in the unqualified written opinion of counsel for Party B, no registration under the Securities Act of 1933 is required for such resales. </w:t>
      </w:r>
    </w:p>
    <w:p>
      <w:pPr>
        <w:pStyle w:val="Normal"/>
        <w:tabs>
          <w:tab w:val="clear" w:pos="720"/>
          <w:tab w:val="left" w:pos="3600" w:leader="none"/>
        </w:tabs>
        <w:ind w:hanging="3600" w:start="3600" w:end="0"/>
        <w:rPr>
          <w:rFonts w:ascii="Arial" w:hAnsi="Arial" w:cs="Arial"/>
          <w:b/>
          <w:sz w:val="22"/>
        </w:rPr>
      </w:pPr>
      <w:r>
        <w:rPr>
          <w:rFonts w:cs="Arial" w:ascii="Arial" w:hAnsi="Arial"/>
          <w:b/>
          <w:sz w:val="22"/>
        </w:rPr>
      </w:r>
    </w:p>
    <w:p>
      <w:pPr>
        <w:pStyle w:val="BodyTextIndent"/>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rPr/>
      </w:pPr>
      <w:r>
        <w:rPr/>
      </w:r>
    </w:p>
    <w:p>
      <w:pPr>
        <w:pStyle w:val="BodyTextIndent"/>
        <w:rPr/>
      </w:pPr>
      <w:r>
        <w:rPr/>
        <w:t>If, as a result of Party B’s election to net share settle this equity derivatives transaction, Party B issues securities to Party A, Party B shall make a registration statement available to Party A for the registration of resales of such securities.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0" w:end="0"/>
    </w:pPr>
    <w:rPr>
      <w:rFonts w:ascii="Arial" w:hAnsi="Arial" w:cs="Arial"/>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2000-09-20T16:32:00Z</dcterms:created>
  <dc:creator>Vinson &amp; Elkins L.L.P.</dc:creator>
  <dc:description/>
  <dc:language>en-CA</dc:language>
  <cp:lastModifiedBy>jarmogi</cp:lastModifiedBy>
  <dcterms:modified xsi:type="dcterms:W3CDTF">2000-09-21T12:23:00Z</dcterms:modified>
  <cp:revision>4</cp:revision>
  <dc:subject/>
  <dc:title>Registration Provisions:</dc:title>
</cp:coreProperties>
</file>