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u w:val="single"/>
        </w:rPr>
      </w:pPr>
      <w:r>
        <w:rPr>
          <w:u w:val="single"/>
        </w:rPr>
        <w:t>Derivatives Regulatory Issues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President’s Working Group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Distinguishes financial derivatives from commodity derivatives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Financial markets described as already regulated and less subject to manipulation than commodity markets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Derivatives dealers should b monitored but it is not necessary to regulate them at this time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CFTC Framework for Regulation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No change to regulation of existing business (swaps exemption unchanged)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Establishes three levels of regulation for exchange-like business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Regulated Exchanges – full regulation</w:t>
      </w:r>
    </w:p>
    <w:p>
      <w:pPr>
        <w:pStyle w:val="Heading2"/>
        <w:rPr/>
      </w:pPr>
      <w:r>
        <w:rPr/>
        <w:t>Any products, all participants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Derivatives Transaction Facilities (DTF) – lighter regulation</w:t>
      </w:r>
    </w:p>
    <w:p>
      <w:pPr>
        <w:pStyle w:val="Normal"/>
        <w:ind w:start="1440" w:end="0"/>
        <w:rPr/>
      </w:pPr>
      <w:r>
        <w:rPr>
          <w:sz w:val="24"/>
        </w:rPr>
        <w:t xml:space="preserve">Products based on deep and liquid commodities </w:t>
      </w:r>
      <w:r>
        <w:rPr>
          <w:b/>
          <w:sz w:val="24"/>
        </w:rPr>
        <w:t xml:space="preserve">OR </w:t>
      </w:r>
      <w:r>
        <w:rPr>
          <w:sz w:val="24"/>
        </w:rPr>
        <w:t>limited to sophisticated participants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Exempt Multilateral Transaction Execution Facilities (MTEF)</w:t>
      </w:r>
    </w:p>
    <w:p>
      <w:pPr>
        <w:pStyle w:val="Normal"/>
        <w:ind w:start="1440" w:end="0"/>
        <w:rPr/>
      </w:pPr>
      <w:r>
        <w:rPr>
          <w:sz w:val="24"/>
        </w:rPr>
        <w:t xml:space="preserve">Products based on deep and liquid commodities </w:t>
      </w:r>
      <w:r>
        <w:rPr>
          <w:b/>
          <w:sz w:val="24"/>
        </w:rPr>
        <w:t xml:space="preserve">AND </w:t>
      </w:r>
      <w:r>
        <w:rPr>
          <w:sz w:val="24"/>
        </w:rPr>
        <w:t>limited to sophisticated participants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Publication of proposed rule expected April 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Enron Position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Historically we have been treated the same as financial derivatives markets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ISDA has supported this position until now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Energy Group Proposal – work within the CFTC Framework (influencing scope and regulatory burden) and broaden existing exemptions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Questions: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How aggressive should Enron’s position be?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What is the right time to compromise?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Short term vs. long term position?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Risks of aggressive position: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Regulation by SEC</w:t>
      </w:r>
    </w:p>
    <w:p>
      <w:pPr>
        <w:pStyle w:val="Normal"/>
        <w:numPr>
          <w:ilvl w:val="2"/>
          <w:numId w:val="2"/>
        </w:numPr>
        <w:rPr>
          <w:sz w:val="24"/>
        </w:rPr>
      </w:pPr>
      <w:r>
        <w:rPr>
          <w:sz w:val="24"/>
        </w:rPr>
        <w:t>Loss of influence over process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/mnt/main-storage/datasets/enron-docs/doc/Derivatives_Regulatory_Issues.doc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2000-03-27T17:03:00Z</dcterms:created>
  <dc:creator>Mark.Taylor</dc:creator>
  <dc:description/>
  <dc:language>en-CA</dc:language>
  <cp:lastModifiedBy>Mark.Taylor</cp:lastModifiedBy>
  <cp:lastPrinted>2000-03-27T14:46:00Z</cp:lastPrinted>
  <dcterms:modified xsi:type="dcterms:W3CDTF">2000-03-27T18:16:00Z</dcterms:modified>
  <cp:revision>2</cp:revision>
  <dc:subject/>
  <dc:title>Derivatives Regulatory Issues</dc:title>
</cp:coreProperties>
</file>