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The Euromoney Derivatives &amp; Risk Management Handbook 2000</w:t>
      </w:r>
    </w:p>
    <w:p>
      <w:pPr>
        <w:pStyle w:val="Normal"/>
        <w:shd w:fill="DFDFDF" w:val="clear"/>
        <w:jc w:val="center"/>
        <w:rPr>
          <w:rFonts w:ascii="Times New Roman" w:hAnsi="Times New Roman" w:cs="Times New Roman"/>
          <w:b/>
          <w:sz w:val="20"/>
        </w:rPr>
      </w:pPr>
      <w:r>
        <w:rPr>
          <w:rFonts w:cs="Times New Roman" w:ascii="Times New Roman" w:hAnsi="Times New Roman"/>
          <w:b/>
          <w:sz w:val="20"/>
        </w:rPr>
        <w:t xml:space="preserve">Price : US$170 / £95   </w:t>
        <w:tab/>
        <w:tab/>
        <w:t>ISBN</w:t>
        <w:tab/>
        <w:t>1 85564 780X</w:t>
      </w:r>
    </w:p>
    <w:p>
      <w:pPr>
        <w:pStyle w:val="Normal"/>
        <w:jc w:val="center"/>
        <w:rPr>
          <w:rFonts w:ascii="Times New Roman" w:hAnsi="Times New Roman" w:cs="Times New Roman"/>
          <w:b/>
          <w:sz w:val="20"/>
        </w:rPr>
      </w:pPr>
      <w:r>
        <w:rPr>
          <w:rFonts w:cs="Times New Roman" w:ascii="Times New Roman" w:hAnsi="Times New Roman"/>
          <w:b/>
          <w:sz w:val="20"/>
        </w:rPr>
      </w:r>
    </w:p>
    <w:p>
      <w:pPr>
        <w:pStyle w:val="BodyText"/>
        <w:rPr/>
      </w:pPr>
      <w:r>
        <w:rPr/>
        <w:t xml:space="preserve">Published annually, this handbook is the extensive, up-to-date directory for the derivatives industry and a guide to the innovations and developments in derivatives products and markets over the preceding 12 months.  With contributions from the leading players in the market, the handbook is divided into 3 sections, each giving a unique perspective on the many different derivatives products and market trends.  </w:t>
      </w:r>
      <w:r>
        <w:rPr>
          <w:color w:val="0000FF"/>
        </w:rPr>
        <w:t>This 10</w:t>
      </w:r>
      <w:r>
        <w:rPr>
          <w:color w:val="0000FF"/>
          <w:vertAlign w:val="superscript"/>
        </w:rPr>
        <w:t>th</w:t>
      </w:r>
      <w:r>
        <w:rPr>
          <w:color w:val="0000FF"/>
        </w:rPr>
        <w:t xml:space="preserve"> edition features regional analysis examining specialist factors and events including the impact of option pricing and volatility on market direction, the taxation of bonds, structured products and Internet trading and regulation.  </w:t>
      </w:r>
      <w:r>
        <w:rPr/>
        <w:t xml:space="preserve"> </w:t>
      </w:r>
      <w:r>
        <w:rPr>
          <w:color w:val="0000FF"/>
        </w:rPr>
        <w:t>A diverse selection of comprehensive country reviews is also provided including Belgium, Germany, Greece, Malaysia and Mexico.  A detailed directory of approximately 6,000 derivatives specialists world-wide plus a listing of exchanges in over 30 countries completes this successful publication.</w:t>
      </w:r>
      <w:r>
        <w:rPr/>
        <w:t xml:space="preserve"> </w:t>
      </w:r>
      <w:r>
        <w:rPr>
          <w:color w:val="0000FF"/>
        </w:rPr>
        <w:t>(318 pages)</w:t>
      </w:r>
    </w:p>
    <w:p>
      <w:pPr>
        <w:pStyle w:val="BodyText"/>
        <w:rPr>
          <w:color w:val="0000FF"/>
        </w:rPr>
      </w:pPr>
      <w:r>
        <w:rPr>
          <w:color w:val="0000FF"/>
        </w:rPr>
      </w:r>
    </w:p>
    <w:p>
      <w:pPr>
        <w:pStyle w:val="BodyText"/>
        <w:rPr>
          <w:b/>
          <w:color w:val="0000FF"/>
        </w:rPr>
      </w:pPr>
      <w:r>
        <w:rPr>
          <w:color w:val="0000FF"/>
        </w:rPr>
        <w:t>Cross border products and issues addressed in this edition include:</w:t>
      </w:r>
    </w:p>
    <w:p>
      <w:pPr>
        <w:pStyle w:val="BodyText"/>
        <w:rPr>
          <w:b/>
          <w:color w:val="0000FF"/>
        </w:rPr>
      </w:pPr>
      <w:r>
        <w:rPr>
          <w:b/>
          <w:color w:val="0000FF"/>
        </w:rPr>
      </w:r>
    </w:p>
    <w:p>
      <w:pPr>
        <w:pStyle w:val="BodyText"/>
        <w:numPr>
          <w:ilvl w:val="0"/>
          <w:numId w:val="2"/>
        </w:numPr>
        <w:rPr/>
      </w:pPr>
      <w:r>
        <w:rPr>
          <w:color w:val="0000FF"/>
        </w:rPr>
        <w:t>Equity and currency markets</w:t>
      </w:r>
    </w:p>
    <w:p>
      <w:pPr>
        <w:pStyle w:val="BodyText"/>
        <w:numPr>
          <w:ilvl w:val="0"/>
          <w:numId w:val="2"/>
        </w:numPr>
        <w:rPr/>
      </w:pPr>
      <w:r>
        <w:rPr>
          <w:color w:val="0000FF"/>
        </w:rPr>
        <w:t>Option pricing including capital protected units</w:t>
      </w:r>
    </w:p>
    <w:p>
      <w:pPr>
        <w:pStyle w:val="BodyText"/>
        <w:numPr>
          <w:ilvl w:val="0"/>
          <w:numId w:val="2"/>
        </w:numPr>
        <w:rPr/>
      </w:pPr>
      <w:r>
        <w:rPr>
          <w:color w:val="0000FF"/>
        </w:rPr>
        <w:t>Structured and combined products</w:t>
      </w:r>
    </w:p>
    <w:p>
      <w:pPr>
        <w:pStyle w:val="BodyText"/>
        <w:numPr>
          <w:ilvl w:val="0"/>
          <w:numId w:val="2"/>
        </w:numPr>
        <w:rPr/>
      </w:pPr>
      <w:r>
        <w:rPr>
          <w:color w:val="0000FF"/>
        </w:rPr>
        <w:t>Credit derivatives</w:t>
      </w:r>
    </w:p>
    <w:p>
      <w:pPr>
        <w:pStyle w:val="BodyText"/>
        <w:numPr>
          <w:ilvl w:val="0"/>
          <w:numId w:val="2"/>
        </w:numPr>
        <w:rPr/>
      </w:pPr>
      <w:r>
        <w:rPr>
          <w:color w:val="0000FF"/>
        </w:rPr>
        <w:t>Hedging derivatives</w:t>
      </w:r>
    </w:p>
    <w:p>
      <w:pPr>
        <w:pStyle w:val="BodyText"/>
        <w:numPr>
          <w:ilvl w:val="0"/>
          <w:numId w:val="2"/>
        </w:numPr>
        <w:rPr/>
      </w:pPr>
      <w:r>
        <w:rPr>
          <w:color w:val="0000FF"/>
        </w:rPr>
        <w:t>Legal overviews – Internet regulation in Italy, stock lending in Greece</w:t>
      </w:r>
    </w:p>
    <w:p>
      <w:pPr>
        <w:pStyle w:val="BodyText"/>
        <w:numPr>
          <w:ilvl w:val="0"/>
          <w:numId w:val="0"/>
        </w:numPr>
        <w:ind w:hanging="0" w:start="0"/>
        <w:rPr/>
      </w:pPr>
      <w:r>
        <w:rPr/>
      </w:r>
    </w:p>
    <w:p>
      <w:pPr>
        <w:pStyle w:val="BodyText"/>
        <w:numPr>
          <w:ilvl w:val="0"/>
          <w:numId w:val="0"/>
        </w:numPr>
        <w:pBdr>
          <w:top w:val="single" w:sz="6" w:space="1" w:color="000000"/>
          <w:left w:val="single" w:sz="6" w:space="1" w:color="000000"/>
          <w:bottom w:val="single" w:sz="6" w:space="1" w:color="000000"/>
          <w:right w:val="single" w:sz="6" w:space="1" w:color="000000"/>
        </w:pBdr>
        <w:shd w:fill="000000" w:val="clear"/>
        <w:ind w:hanging="0" w:start="0"/>
        <w:jc w:val="center"/>
        <w:rPr>
          <w:b/>
        </w:rPr>
      </w:pPr>
      <w:r>
        <w:rPr>
          <w:b/>
        </w:rPr>
        <w:t>Market Reviews</w:t>
      </w:r>
    </w:p>
    <w:p>
      <w:pPr>
        <w:pStyle w:val="BodyText"/>
        <w:numPr>
          <w:ilvl w:val="0"/>
          <w:numId w:val="0"/>
        </w:numPr>
        <w:ind w:hanging="0" w:start="0"/>
        <w:rPr>
          <w:b/>
        </w:rPr>
      </w:pPr>
      <w:r>
        <w:rPr>
          <w:b/>
        </w:rPr>
      </w:r>
    </w:p>
    <w:p>
      <w:pPr>
        <w:pStyle w:val="Normal"/>
        <w:numPr>
          <w:ilvl w:val="0"/>
          <w:numId w:val="3"/>
        </w:numPr>
        <w:rPr>
          <w:rFonts w:ascii="Times New Roman" w:hAnsi="Times New Roman" w:cs="Times New Roman"/>
          <w:sz w:val="20"/>
        </w:rPr>
      </w:pPr>
      <w:r>
        <w:rPr>
          <w:rFonts w:cs="Times New Roman" w:ascii="Times New Roman" w:hAnsi="Times New Roman"/>
          <w:sz w:val="20"/>
        </w:rPr>
        <w:t>Forecasting volatility to predict stock markets and currencies – Morgan Stanley Dean Witter</w:t>
      </w:r>
    </w:p>
    <w:p>
      <w:pPr>
        <w:pStyle w:val="Normal"/>
        <w:numPr>
          <w:ilvl w:val="0"/>
          <w:numId w:val="3"/>
        </w:numPr>
        <w:rPr>
          <w:rFonts w:ascii="Times New Roman" w:hAnsi="Times New Roman" w:cs="Times New Roman"/>
          <w:sz w:val="20"/>
        </w:rPr>
      </w:pPr>
      <w:r>
        <w:rPr>
          <w:rFonts w:cs="Times New Roman" w:ascii="Times New Roman" w:hAnsi="Times New Roman"/>
          <w:sz w:val="20"/>
        </w:rPr>
        <w:t>Modified ‘differential taxation’ and combined products – Arthur Andersen</w:t>
      </w:r>
    </w:p>
    <w:p>
      <w:pPr>
        <w:pStyle w:val="Normal"/>
        <w:numPr>
          <w:ilvl w:val="0"/>
          <w:numId w:val="3"/>
        </w:numPr>
        <w:rPr>
          <w:rFonts w:ascii="Times New Roman" w:hAnsi="Times New Roman" w:cs="Times New Roman"/>
          <w:sz w:val="20"/>
        </w:rPr>
      </w:pPr>
      <w:r>
        <w:rPr>
          <w:rFonts w:cs="Times New Roman" w:ascii="Times New Roman" w:hAnsi="Times New Roman"/>
          <w:sz w:val="20"/>
        </w:rPr>
        <w:t>Capital protected units using Asian options – Bank Vontobel</w:t>
      </w:r>
    </w:p>
    <w:p>
      <w:pPr>
        <w:pStyle w:val="Normal"/>
        <w:numPr>
          <w:ilvl w:val="0"/>
          <w:numId w:val="3"/>
        </w:numPr>
        <w:rPr>
          <w:rFonts w:ascii="Times New Roman" w:hAnsi="Times New Roman" w:cs="Times New Roman"/>
          <w:sz w:val="20"/>
        </w:rPr>
      </w:pPr>
      <w:r>
        <w:rPr>
          <w:rFonts w:cs="Times New Roman" w:ascii="Times New Roman" w:hAnsi="Times New Roman"/>
          <w:sz w:val="20"/>
        </w:rPr>
        <w:t>Belgium – Artesia Banking Corporation</w:t>
      </w:r>
    </w:p>
    <w:p>
      <w:pPr>
        <w:pStyle w:val="Normal"/>
        <w:numPr>
          <w:ilvl w:val="0"/>
          <w:numId w:val="3"/>
        </w:numPr>
        <w:rPr>
          <w:rFonts w:ascii="Times New Roman" w:hAnsi="Times New Roman" w:cs="Times New Roman"/>
          <w:sz w:val="20"/>
        </w:rPr>
      </w:pPr>
      <w:r>
        <w:rPr>
          <w:rFonts w:cs="Times New Roman" w:ascii="Times New Roman" w:hAnsi="Times New Roman"/>
          <w:sz w:val="20"/>
        </w:rPr>
        <w:t>Structured products in Germany – Clifford Chance Pünder</w:t>
      </w:r>
    </w:p>
    <w:p>
      <w:pPr>
        <w:pStyle w:val="Normal"/>
        <w:numPr>
          <w:ilvl w:val="0"/>
          <w:numId w:val="3"/>
        </w:numPr>
        <w:rPr>
          <w:rFonts w:ascii="Times New Roman" w:hAnsi="Times New Roman" w:cs="Times New Roman"/>
          <w:sz w:val="20"/>
        </w:rPr>
      </w:pPr>
      <w:r>
        <w:rPr>
          <w:rFonts w:cs="Times New Roman" w:ascii="Times New Roman" w:hAnsi="Times New Roman"/>
          <w:sz w:val="20"/>
        </w:rPr>
        <w:t>The Greek derivatives market – National Bank of Greece</w:t>
      </w:r>
    </w:p>
    <w:p>
      <w:pPr>
        <w:pStyle w:val="Normal"/>
        <w:numPr>
          <w:ilvl w:val="0"/>
          <w:numId w:val="3"/>
        </w:numPr>
        <w:rPr>
          <w:rFonts w:ascii="Times New Roman" w:hAnsi="Times New Roman" w:cs="Times New Roman"/>
          <w:sz w:val="20"/>
        </w:rPr>
      </w:pPr>
      <w:r>
        <w:rPr>
          <w:rFonts w:cs="Times New Roman" w:ascii="Times New Roman" w:hAnsi="Times New Roman"/>
          <w:sz w:val="20"/>
        </w:rPr>
        <w:t>A new stock lending product to be introduced in Greece – Potamitis Iliadou</w:t>
      </w:r>
    </w:p>
    <w:p>
      <w:pPr>
        <w:pStyle w:val="Normal"/>
        <w:numPr>
          <w:ilvl w:val="0"/>
          <w:numId w:val="3"/>
        </w:numPr>
        <w:rPr>
          <w:rFonts w:ascii="Times New Roman" w:hAnsi="Times New Roman" w:cs="Times New Roman"/>
          <w:sz w:val="20"/>
        </w:rPr>
      </w:pPr>
      <w:r>
        <w:rPr>
          <w:rFonts w:cs="Times New Roman" w:ascii="Times New Roman" w:hAnsi="Times New Roman"/>
          <w:sz w:val="20"/>
        </w:rPr>
        <w:t>Distance promotion and marketing of financial products via the Internet in Italy – Banca IMI</w:t>
      </w:r>
    </w:p>
    <w:p>
      <w:pPr>
        <w:pStyle w:val="Normal"/>
        <w:numPr>
          <w:ilvl w:val="0"/>
          <w:numId w:val="3"/>
        </w:numPr>
        <w:rPr>
          <w:rFonts w:ascii="Times New Roman" w:hAnsi="Times New Roman" w:cs="Times New Roman"/>
          <w:sz w:val="20"/>
        </w:rPr>
      </w:pPr>
      <w:r>
        <w:rPr>
          <w:rFonts w:cs="Times New Roman" w:ascii="Times New Roman" w:hAnsi="Times New Roman"/>
          <w:sz w:val="20"/>
        </w:rPr>
        <w:t>Paradigm shift in the Malaysian financial risk management approach – Commerce International Merchant Bankers Berhad</w:t>
      </w:r>
    </w:p>
    <w:p>
      <w:pPr>
        <w:pStyle w:val="Normal"/>
        <w:numPr>
          <w:ilvl w:val="0"/>
          <w:numId w:val="3"/>
        </w:numPr>
        <w:rPr>
          <w:rFonts w:ascii="Times New Roman" w:hAnsi="Times New Roman" w:cs="Times New Roman"/>
          <w:sz w:val="20"/>
        </w:rPr>
      </w:pPr>
      <w:r>
        <w:rPr>
          <w:rFonts w:cs="Times New Roman" w:ascii="Times New Roman" w:hAnsi="Times New Roman"/>
          <w:sz w:val="20"/>
        </w:rPr>
        <w:t>The risk management landscape in Mexico – Shirebrook Commodities SA de CV</w:t>
      </w:r>
    </w:p>
    <w:p>
      <w:pPr>
        <w:pStyle w:val="BodyText"/>
        <w:rPr>
          <w:rFonts w:ascii="Times New Roman" w:hAnsi="Times New Roman" w:cs="Times New Roman"/>
          <w:sz w:val="20"/>
        </w:rPr>
      </w:pPr>
      <w:r>
        <w:rPr>
          <w:rFonts w:cs="Times New Roman"/>
          <w:sz w:val="20"/>
        </w:rPr>
      </w:r>
    </w:p>
    <w:p>
      <w:pPr>
        <w:pStyle w:val="BodyText"/>
        <w:pBdr>
          <w:top w:val="single" w:sz="6" w:space="1" w:color="000000"/>
          <w:left w:val="single" w:sz="6" w:space="1" w:color="000000"/>
          <w:bottom w:val="single" w:sz="6" w:space="1" w:color="000000"/>
          <w:right w:val="single" w:sz="6" w:space="1" w:color="000000"/>
        </w:pBdr>
        <w:shd w:fill="000000" w:val="clear"/>
        <w:jc w:val="center"/>
        <w:rPr>
          <w:b/>
        </w:rPr>
      </w:pPr>
      <w:r>
        <w:rPr>
          <w:b/>
        </w:rPr>
        <w:t>Directory</w:t>
      </w:r>
    </w:p>
    <w:p>
      <w:pPr>
        <w:pStyle w:val="BodyText3"/>
        <w:rPr/>
      </w:pPr>
      <w:r>
        <w:rPr/>
        <w:t xml:space="preserve">Designed for everyone active in the derivatives market, whether a futures trader or corporate financial officer responsible for managing risk. Information on all the major derivatives exchanges, including names and departments. The most important contacts traded on each of the major exchanges are given: </w:t>
      </w:r>
    </w:p>
    <w:p>
      <w:pPr>
        <w:pStyle w:val="Header"/>
        <w:pBdr>
          <w:top w:val="single" w:sz="6" w:space="1" w:color="000000"/>
          <w:left w:val="single" w:sz="6" w:space="1" w:color="000000"/>
          <w:bottom w:val="single" w:sz="6" w:space="1" w:color="000000"/>
          <w:right w:val="single" w:sz="6" w:space="1" w:color="000000"/>
        </w:pBdr>
        <w:tabs>
          <w:tab w:val="clear" w:pos="4320"/>
          <w:tab w:val="clear" w:pos="8640"/>
        </w:tabs>
        <w:jc w:val="center"/>
        <w:rPr>
          <w:rFonts w:ascii="Times New Roman" w:hAnsi="Times New Roman" w:cs="Times New Roman"/>
          <w:sz w:val="20"/>
        </w:rPr>
      </w:pPr>
      <w:r>
        <w:rPr>
          <w:rFonts w:cs="Times New Roman" w:ascii="Times New Roman" w:hAnsi="Times New Roman"/>
          <w:sz w:val="20"/>
        </w:rPr>
        <w:t>Financial Institutions - 750 entries</w:t>
      </w:r>
    </w:p>
    <w:p>
      <w:pPr>
        <w:pStyle w:val="Normal"/>
        <w:pBdr>
          <w:top w:val="single" w:sz="6" w:space="1" w:color="000000"/>
          <w:left w:val="single" w:sz="6" w:space="1" w:color="000000"/>
          <w:bottom w:val="single" w:sz="6" w:space="1" w:color="000000"/>
          <w:right w:val="single" w:sz="6" w:space="1" w:color="000000"/>
        </w:pBdr>
        <w:jc w:val="center"/>
        <w:rPr>
          <w:rFonts w:ascii="Times New Roman" w:hAnsi="Times New Roman" w:cs="Times New Roman"/>
          <w:sz w:val="20"/>
        </w:rPr>
      </w:pPr>
      <w:r>
        <w:rPr>
          <w:rFonts w:cs="Times New Roman" w:ascii="Times New Roman" w:hAnsi="Times New Roman"/>
          <w:sz w:val="20"/>
        </w:rPr>
        <w:t>Tax, Accountancy &amp; Consultancy Firms - 500 entries</w:t>
      </w:r>
    </w:p>
    <w:p>
      <w:pPr>
        <w:pStyle w:val="Normal"/>
        <w:pBdr>
          <w:top w:val="single" w:sz="6" w:space="1" w:color="000000"/>
          <w:left w:val="single" w:sz="6" w:space="1" w:color="000000"/>
          <w:bottom w:val="single" w:sz="6" w:space="1" w:color="000000"/>
          <w:right w:val="single" w:sz="6" w:space="1" w:color="000000"/>
        </w:pBdr>
        <w:jc w:val="center"/>
        <w:rPr>
          <w:rFonts w:ascii="Times New Roman" w:hAnsi="Times New Roman" w:cs="Times New Roman"/>
          <w:sz w:val="20"/>
        </w:rPr>
      </w:pPr>
      <w:r>
        <w:rPr>
          <w:rFonts w:cs="Times New Roman" w:ascii="Times New Roman" w:hAnsi="Times New Roman"/>
          <w:sz w:val="20"/>
        </w:rPr>
        <w:t>Law Firms - 650 entries</w:t>
      </w:r>
    </w:p>
    <w:p>
      <w:pPr>
        <w:pStyle w:val="Normal"/>
        <w:pBdr>
          <w:top w:val="single" w:sz="6" w:space="1" w:color="000000"/>
          <w:left w:val="single" w:sz="6" w:space="1" w:color="000000"/>
          <w:bottom w:val="single" w:sz="6" w:space="1" w:color="000000"/>
          <w:right w:val="single" w:sz="6" w:space="1" w:color="000000"/>
        </w:pBdr>
        <w:jc w:val="center"/>
        <w:rPr>
          <w:rFonts w:ascii="Times New Roman" w:hAnsi="Times New Roman" w:cs="Times New Roman"/>
          <w:sz w:val="20"/>
        </w:rPr>
      </w:pPr>
      <w:r>
        <w:rPr>
          <w:rFonts w:cs="Times New Roman" w:ascii="Times New Roman" w:hAnsi="Times New Roman"/>
          <w:sz w:val="20"/>
        </w:rPr>
        <w:t>IT Systems Providers - 400 entries</w:t>
      </w:r>
    </w:p>
    <w:p>
      <w:pPr>
        <w:pStyle w:val="Normal"/>
        <w:pBdr>
          <w:top w:val="single" w:sz="6" w:space="1" w:color="000000"/>
          <w:left w:val="single" w:sz="6" w:space="1" w:color="000000"/>
          <w:bottom w:val="single" w:sz="6" w:space="1" w:color="000000"/>
          <w:right w:val="single" w:sz="6" w:space="1" w:color="000000"/>
        </w:pBdr>
        <w:jc w:val="center"/>
        <w:rPr>
          <w:rFonts w:ascii="Times New Roman" w:hAnsi="Times New Roman" w:cs="Times New Roman"/>
          <w:sz w:val="20"/>
        </w:rPr>
      </w:pPr>
      <w:r>
        <w:rPr>
          <w:rFonts w:cs="Times New Roman" w:ascii="Times New Roman" w:hAnsi="Times New Roman"/>
          <w:sz w:val="20"/>
        </w:rPr>
        <w:t>Derivatives Exchanges - 70 entries</w:t>
      </w:r>
    </w:p>
    <w:p>
      <w:pPr>
        <w:pStyle w:val="Heading2"/>
        <w:pBdr>
          <w:top w:val="single" w:sz="6" w:space="1" w:color="000000"/>
          <w:left w:val="single" w:sz="6" w:space="1" w:color="000000"/>
          <w:bottom w:val="single" w:sz="6" w:space="1" w:color="000000"/>
          <w:right w:val="single" w:sz="6" w:space="1" w:color="000000"/>
        </w:pBdr>
        <w:ind w:hanging="0" w:start="0"/>
        <w:jc w:val="center"/>
        <w:rPr/>
      </w:pPr>
      <w:r>
        <w:rPr/>
        <w:t>Total individual contacts - @6,000</w:t>
      </w:r>
    </w:p>
    <w:sectPr>
      <w:headerReference w:type="default" r:id="rId2"/>
      <w:footerReference w:type="default" r:id="rId3"/>
      <w:type w:val="nextPage"/>
      <w:pgSz w:w="11906" w:h="16838"/>
      <w:pgMar w:left="1797" w:right="1797"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fill="000000" w:val="clear"/>
      <w:jc w:val="center"/>
      <w:rPr>
        <w:rFonts w:ascii="Times New Roman" w:hAnsi="Times New Roman" w:cs="Times New Roman"/>
        <w:b/>
        <w:sz w:val="20"/>
      </w:rPr>
    </w:pPr>
    <w:r>
      <w:rPr>
        <w:rFonts w:cs="Times New Roman" w:ascii="Times New Roman" w:hAnsi="Times New Roman"/>
        <w:b/>
        <w:sz w:val="20"/>
      </w:rPr>
      <w:t>TO ORDER PLEASE CALL THE HOTLINE ON 212-224-3570, FAX 212-224-3952, OR E-MAIL owusue@iinvestor.net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fill="000000" w:val="clear"/>
      <w:jc w:val="center"/>
      <w:rPr>
        <w:rFonts w:ascii="Times New Roman" w:hAnsi="Times New Roman" w:cs="Times New Roman"/>
        <w:b/>
        <w:sz w:val="20"/>
      </w:rPr>
    </w:pPr>
    <w:r>
      <w:rPr>
        <w:rFonts w:cs="Times New Roman" w:ascii="Times New Roman" w:hAnsi="Times New Roman"/>
        <w:b/>
        <w:sz w:val="20"/>
      </w:rPr>
      <w:t>EUROMONEY INSTITUTIONAL INVESTOR PLC: DIRECTORIES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283"/>
        </w:tabs>
        <w:ind w:start="283" w:hanging="283"/>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18"/>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sz w:val="20"/>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hd w:fill="000000" w:val="clear"/>
      <w:jc w:val="center"/>
    </w:pPr>
    <w:rPr>
      <w:rFonts w:ascii="Times New Roman" w:hAnsi="Times New Roman" w:cs="Times New Roman"/>
      <w:b/>
      <w:sz w:val="52"/>
    </w:rPr>
  </w:style>
  <w:style w:type="paragraph" w:styleId="BodyText3">
    <w:name w:val="Body Text 3"/>
    <w:basedOn w:val="Normal"/>
    <w:qFormat/>
    <w:pPr>
      <w:pBdr>
        <w:top w:val="single" w:sz="6" w:space="1" w:color="000000"/>
        <w:left w:val="single" w:sz="6" w:space="1" w:color="000000"/>
        <w:bottom w:val="single" w:sz="6" w:space="1" w:color="000000"/>
        <w:right w:val="single" w:sz="6" w:space="1" w:color="000000"/>
      </w:pBdr>
      <w:jc w:val="center"/>
    </w:pPr>
    <w:rPr>
      <w:rFonts w:ascii="Times New Roman" w:hAnsi="Times New Roman" w:cs="Times New Roman"/>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2000-06-09T11:12:00Z</dcterms:created>
  <dc:creator>VOTA NÃO À REGIONALIZAÇÃO! SIM AO REFORÇO DO MUNICIPALISMO!</dc:creator>
  <dc:description>A REGIONALIZAÇÃO É UM ERRO COLOSSAL!</dc:description>
  <dc:language>en-CA</dc:language>
  <cp:lastModifiedBy>Institutional Investor</cp:lastModifiedBy>
  <cp:lastPrinted>2000-05-26T16:26:00Z</cp:lastPrinted>
  <dcterms:modified xsi:type="dcterms:W3CDTF">2000-06-09T11:12:00Z</dcterms:modified>
  <cp:revision>2</cp:revision>
  <dc:subject>JOÃO JARDIM x8?! PORRA! DIA 8 VOTA NÃO!</dc:subject>
  <dc:title>The Euromoney Derivatives Handbook</dc:title>
</cp:coreProperties>
</file>