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2000" w:type="dxa"/>
        <w:jc w:val="start"/>
        <w:tblInd w:w="-1313" w:type="dxa"/>
        <w:tblLayout w:type="fixed"/>
        <w:tblCellMar>
          <w:top w:w="0" w:type="dxa"/>
          <w:start w:w="0" w:type="dxa"/>
          <w:bottom w:w="0" w:type="dxa"/>
          <w:end w:w="0" w:type="dxa"/>
        </w:tblCellMar>
      </w:tblPr>
      <w:tblGrid>
        <w:gridCol w:w="233"/>
        <w:gridCol w:w="11767"/>
      </w:tblGrid>
      <w:tr>
        <w:trPr/>
        <w:tc>
          <w:tcPr>
            <w:tcW w:w="233" w:type="dxa"/>
            <w:tcBorders/>
            <w:vAlign w:val="center"/>
          </w:tcPr>
          <w:p>
            <w:pPr>
              <w:pStyle w:val="Normal"/>
              <w:snapToGrid w:val="false"/>
              <w:rPr>
                <w:rFonts w:ascii="Arial Unicode MS" w:hAnsi="Arial Unicode MS" w:eastAsia="Arial Unicode MS" w:cs="Arial Unicode MS"/>
              </w:rPr>
            </w:pPr>
            <w:r>
              <w:rPr>
                <w:rFonts w:eastAsia="Arial Unicode MS" w:cs="Arial Unicode MS" w:ascii="Arial Unicode MS" w:hAnsi="Arial Unicode MS"/>
              </w:rPr>
            </w:r>
          </w:p>
        </w:tc>
        <w:tc>
          <w:tcPr>
            <w:tcW w:w="11767" w:type="dxa"/>
            <w:tcBorders/>
          </w:tcPr>
          <w:p>
            <w:pPr>
              <w:pStyle w:val="Normal"/>
              <w:rPr/>
            </w:pPr>
            <w:r>
              <w:rPr>
                <w:rFonts w:cs="Verdana" w:ascii="Verdana" w:hAnsi="Verdana"/>
                <w:b/>
                <w:bCs/>
                <w:sz w:val="20"/>
                <w:szCs w:val="20"/>
              </w:rPr>
              <w:t>Wednesday, December 13, 2000</w:t>
            </w:r>
            <w:r>
              <w:rPr>
                <w:rFonts w:cs="Verdana" w:ascii="Verdana" w:hAnsi="Verdana"/>
                <w:sz w:val="20"/>
                <w:szCs w:val="20"/>
              </w:rPr>
              <w:t xml:space="preserve"> </w:t>
            </w:r>
          </w:p>
          <w:p>
            <w:pPr>
              <w:pStyle w:val="NormalWeb"/>
              <w:rPr/>
            </w:pPr>
            <w:r>
              <w:rPr>
                <w:rFonts w:cs="Verdana" w:ascii="Verdana" w:hAnsi="Verdana"/>
                <w:sz w:val="20"/>
                <w:szCs w:val="20"/>
              </w:rPr>
              <w:drawing>
                <wp:inline distT="0" distB="0" distL="0" distR="0">
                  <wp:extent cx="2381250" cy="1590675"/>
                  <wp:effectExtent l="0" t="0" r="0" b="0"/>
                  <wp:docPr id="1" name="hea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 descr="" title=""/>
                          <pic:cNvPicPr>
                            <a:picLocks noChangeAspect="1" noChangeArrowheads="1"/>
                          </pic:cNvPicPr>
                        </pic:nvPicPr>
                        <pic:blipFill>
                          <a:blip r:embed="rId2"/>
                          <a:srcRect l="-15" t="-23" r="-15" b="-23"/>
                          <a:stretch>
                            <a:fillRect/>
                          </a:stretch>
                        </pic:blipFill>
                        <pic:spPr bwMode="auto">
                          <a:xfrm>
                            <a:off x="0" y="0"/>
                            <a:ext cx="2381250" cy="1590675"/>
                          </a:xfrm>
                          <a:prstGeom prst="rect">
                            <a:avLst/>
                          </a:prstGeom>
                          <a:noFill/>
                        </pic:spPr>
                      </pic:pic>
                    </a:graphicData>
                  </a:graphic>
                </wp:inline>
              </w:drawing>
            </w:r>
            <w:r>
              <w:rPr>
                <w:rFonts w:cs="Verdana" w:ascii="Verdana" w:hAnsi="Verdana"/>
                <w:sz w:val="20"/>
                <w:szCs w:val="20"/>
              </w:rPr>
              <w:br/>
              <w:br/>
              <w:t xml:space="preserve">By Paula Aven </w:t>
              <w:br/>
            </w:r>
            <w:hyperlink r:id="rId3">
              <w:r>
                <w:rPr>
                  <w:rStyle w:val="Hyperlink"/>
                  <w:rFonts w:cs="Verdana" w:ascii="Verdana" w:hAnsi="Verdana"/>
                  <w:sz w:val="20"/>
                  <w:szCs w:val="20"/>
                </w:rPr>
                <w:t>paven@ftenergy.com</w:t>
              </w:r>
            </w:hyperlink>
            <w:r>
              <w:rPr>
                <w:rFonts w:cs="Verdana" w:ascii="Verdana" w:hAnsi="Verdana"/>
                <w:sz w:val="20"/>
                <w:szCs w:val="20"/>
              </w:rPr>
              <w:t xml:space="preserve"> </w:t>
            </w:r>
          </w:p>
          <w:p>
            <w:pPr>
              <w:pStyle w:val="NormalWeb"/>
              <w:rPr>
                <w:rFonts w:ascii="Verdana" w:hAnsi="Verdana" w:cs="Verdana"/>
                <w:sz w:val="20"/>
                <w:szCs w:val="20"/>
              </w:rPr>
            </w:pPr>
            <w:r>
              <w:rPr>
                <w:rFonts w:cs="Verdana" w:ascii="Verdana" w:hAnsi="Verdana"/>
                <w:sz w:val="20"/>
                <w:szCs w:val="20"/>
              </w:rPr>
              <w:t xml:space="preserve">Electricity deregulation has sparked an information technology revolution. At one time, utilities would build new functions they needed onto their existing legacy computing systems. To become leaner and more efficient, companies are turning toward new computing solutions that encompass all of the major customer information system and customer relationship management capabilities into one compact system. Until this year, that has not been an easy bill to fill. </w:t>
            </w:r>
          </w:p>
          <w:p>
            <w:pPr>
              <w:pStyle w:val="NormalWeb"/>
              <w:rPr>
                <w:rFonts w:ascii="Verdana" w:hAnsi="Verdana" w:cs="Verdana"/>
                <w:sz w:val="20"/>
                <w:szCs w:val="20"/>
              </w:rPr>
            </w:pPr>
            <w:r>
              <w:rPr>
                <w:rFonts w:cs="Verdana" w:ascii="Verdana" w:hAnsi="Verdana"/>
                <w:sz w:val="20"/>
                <w:szCs w:val="20"/>
              </w:rPr>
              <w:t xml:space="preserve">To better compete with unregulated energy service providers, utilities finally have realized that by implementing such a system, they can gather more information about their customers and their energy usage, which will help utilities better know and serve them. </w:t>
            </w:r>
          </w:p>
          <w:p>
            <w:pPr>
              <w:pStyle w:val="NormalWeb"/>
              <w:rPr>
                <w:rFonts w:ascii="Verdana" w:hAnsi="Verdana" w:cs="Verdana"/>
                <w:sz w:val="20"/>
                <w:szCs w:val="20"/>
              </w:rPr>
            </w:pPr>
            <w:r>
              <w:rPr>
                <w:rFonts w:cs="Verdana" w:ascii="Verdana" w:hAnsi="Verdana"/>
                <w:sz w:val="20"/>
                <w:szCs w:val="20"/>
              </w:rPr>
              <w:t xml:space="preserve">Companies like Peace Software and EDS are attempting to fill that niche, and companies, blessed with herd mentality, are tripping over themselves to implement their system offerings, especially bill presentment and payment. </w:t>
            </w:r>
          </w:p>
          <w:p>
            <w:pPr>
              <w:pStyle w:val="NormalWeb"/>
              <w:rPr/>
            </w:pPr>
            <w:r>
              <w:rPr>
                <w:rFonts w:cs="Verdana" w:ascii="Verdana" w:hAnsi="Verdana"/>
                <w:b/>
                <w:bCs/>
                <w:sz w:val="20"/>
                <w:szCs w:val="20"/>
              </w:rPr>
              <w:t>The market drivers</w:t>
            </w:r>
            <w:r>
              <w:rPr>
                <w:rFonts w:cs="Verdana" w:ascii="Verdana" w:hAnsi="Verdana"/>
                <w:sz w:val="20"/>
                <w:szCs w:val="20"/>
              </w:rPr>
              <w:br/>
              <w:t xml:space="preserve">Two drivers are behind the technology revolution, said Ian Miller, president of EDS Energy Industries Group, a Plano, Texas-based company that provides consulting, information and technology services to help clients improve performance. One is globalization; companies are expanding their reach internationally. And the other is diversification; utilities are beginning to offer their customers multiple commodities, such as water, natural gas and electricity, as part of their globalization activities. </w:t>
            </w:r>
          </w:p>
          <w:p>
            <w:pPr>
              <w:pStyle w:val="NormalWeb"/>
              <w:rPr>
                <w:rFonts w:ascii="Verdana" w:hAnsi="Verdana" w:cs="Verdana"/>
                <w:sz w:val="20"/>
                <w:szCs w:val="20"/>
              </w:rPr>
            </w:pPr>
            <w:r>
              <w:drawing>
                <wp:anchor behindDoc="0" distT="0" distB="0" distL="0" distR="0" simplePos="0" locked="0" layoutInCell="1" allowOverlap="1" relativeHeight="3">
                  <wp:simplePos x="0" y="0"/>
                  <wp:positionH relativeFrom="column">
                    <wp:posOffset>-1515745</wp:posOffset>
                  </wp:positionH>
                  <wp:positionV relativeFrom="line">
                    <wp:posOffset>-6822440</wp:posOffset>
                  </wp:positionV>
                  <wp:extent cx="923925" cy="561975"/>
                  <wp:effectExtent l="0" t="0" r="0" b="0"/>
                  <wp:wrapSquare wrapText="bothSides"/>
                  <wp:docPr id="2" name="pic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1" descr="" title=""/>
                          <pic:cNvPicPr>
                            <a:picLocks noChangeAspect="1" noChangeArrowheads="1"/>
                          </pic:cNvPicPr>
                        </pic:nvPicPr>
                        <pic:blipFill>
                          <a:blip r:embed="rId4"/>
                          <a:srcRect l="-39" t="-64" r="-39" b="-64"/>
                          <a:stretch>
                            <a:fillRect/>
                          </a:stretch>
                        </pic:blipFill>
                        <pic:spPr bwMode="auto">
                          <a:xfrm>
                            <a:off x="0" y="0"/>
                            <a:ext cx="923925" cy="561975"/>
                          </a:xfrm>
                          <a:prstGeom prst="rect">
                            <a:avLst/>
                          </a:prstGeom>
                          <a:noFill/>
                        </pic:spPr>
                      </pic:pic>
                    </a:graphicData>
                  </a:graphic>
                </wp:anchor>
              </w:drawing>
            </w:r>
            <w:r>
              <w:rPr>
                <w:rFonts w:cs="Verdana" w:ascii="Verdana" w:hAnsi="Verdana"/>
                <w:sz w:val="20"/>
                <w:szCs w:val="20"/>
              </w:rPr>
              <w:t xml:space="preserve">To keep in touch with customers and employees around the world, e-commerce applications have become more important. "You can have a completely different experience with your customers if you are connecting with them electronically," said Miller. "It gives you the opportunity to interface with your customer and have a dialogue with your customer. That was never done before by utilities that are just kenning to the fact they are sitting on a huge asset, their customer base, one they know absolutely nothing about." </w:t>
            </w:r>
          </w:p>
          <w:p>
            <w:pPr>
              <w:pStyle w:val="NormalWeb"/>
              <w:rPr>
                <w:rFonts w:ascii="Verdana" w:hAnsi="Verdana" w:cs="Verdana"/>
                <w:sz w:val="20"/>
                <w:szCs w:val="20"/>
              </w:rPr>
            </w:pPr>
            <w:r>
              <w:rPr>
                <w:rFonts w:cs="Verdana" w:ascii="Verdana" w:hAnsi="Verdana"/>
                <w:sz w:val="20"/>
                <w:szCs w:val="20"/>
              </w:rPr>
              <w:t xml:space="preserve">Ethan Cohen, a senior analyst in the energy and communications division of Aberdeen Group in Boston, agreed. "The competitive aspect of this business has driven utilities to operate more like their peers in other parts of the business world," he said. They are realizing that when they have a well-integrated IT system, they have "functionalities and capabilities they never had before. They are good at collecting data about customers and some data about customers' usage, but they've never been good at leveraging that data." </w:t>
            </w:r>
          </w:p>
          <w:p>
            <w:pPr>
              <w:pStyle w:val="NormalWeb"/>
              <w:rPr>
                <w:rFonts w:ascii="Verdana" w:hAnsi="Verdana" w:cs="Verdana"/>
                <w:sz w:val="20"/>
                <w:szCs w:val="20"/>
              </w:rPr>
            </w:pPr>
            <w:r>
              <w:rPr>
                <w:rFonts w:cs="Verdana" w:ascii="Verdana" w:hAnsi="Verdana"/>
                <w:sz w:val="20"/>
                <w:szCs w:val="20"/>
              </w:rPr>
              <w:t xml:space="preserve">Once a utility knows all of its customer energy usage patterns, it can use that information to help clients save energy and cross-sell other products and services to them. By having customers go to an Internet portal, utilities also are giving advertisers the opportunity to target a certain kind of audience with their message. </w:t>
            </w:r>
          </w:p>
          <w:p>
            <w:pPr>
              <w:pStyle w:val="NormalWeb"/>
              <w:rPr>
                <w:rFonts w:ascii="Verdana" w:hAnsi="Verdana" w:cs="Verdana"/>
                <w:sz w:val="20"/>
                <w:szCs w:val="20"/>
              </w:rPr>
            </w:pPr>
            <w:r>
              <w:rPr>
                <w:rFonts w:cs="Verdana" w:ascii="Verdana" w:hAnsi="Verdana"/>
                <w:sz w:val="20"/>
                <w:szCs w:val="20"/>
              </w:rPr>
              <w:t xml:space="preserve">"Most energy companies, both oil and gas and utilities, have invested in infrastructure. A lot of them are sitting with infrastructure that is not going to support e-commerce and is not going to support global dissemination of knowledge," said Miller. "Companies are finally waking up to the opportunity, but a lot of them don't have the infrastructure in place to make that happen." </w:t>
            </w:r>
          </w:p>
          <w:p>
            <w:pPr>
              <w:pStyle w:val="NormalWeb"/>
              <w:rPr>
                <w:rFonts w:ascii="Verdana" w:hAnsi="Verdana" w:cs="Verdana"/>
                <w:sz w:val="20"/>
                <w:szCs w:val="20"/>
              </w:rPr>
            </w:pPr>
            <w:r>
              <w:rPr>
                <w:rFonts w:cs="Verdana" w:ascii="Verdana" w:hAnsi="Verdana"/>
                <w:sz w:val="20"/>
                <w:szCs w:val="20"/>
              </w:rPr>
              <w:t xml:space="preserve">That trend is leading to a "significant increase in business for us," he added. "We're doing more work than we have in the past." </w:t>
            </w:r>
          </w:p>
          <w:p>
            <w:pPr>
              <w:pStyle w:val="NormalWeb"/>
              <w:rPr/>
            </w:pPr>
            <w:r>
              <w:rPr>
                <w:rFonts w:cs="Verdana" w:ascii="Verdana" w:hAnsi="Verdana"/>
                <w:b/>
                <w:bCs/>
                <w:sz w:val="20"/>
                <w:szCs w:val="20"/>
              </w:rPr>
              <w:t>Evolving systems are key</w:t>
            </w:r>
            <w:r>
              <w:rPr>
                <w:rFonts w:cs="Verdana" w:ascii="Verdana" w:hAnsi="Verdana"/>
                <w:sz w:val="20"/>
                <w:szCs w:val="20"/>
              </w:rPr>
              <w:br/>
              <w:t xml:space="preserve">Deregulation is happening differently in every state in the U.S. Because of this, no utility wants to invest in infrastructure that is tailored only to one market. Instead, they'd rather outsource the work to a company that knows exactly what is going on in each deregulating state and, with minimum expense, can give them access to those markets. </w:t>
            </w:r>
          </w:p>
          <w:p>
            <w:pPr>
              <w:pStyle w:val="NormalWeb"/>
              <w:rPr>
                <w:rFonts w:ascii="Verdana" w:hAnsi="Verdana" w:cs="Verdana"/>
                <w:sz w:val="20"/>
                <w:szCs w:val="20"/>
              </w:rPr>
            </w:pPr>
            <w:r>
              <w:rPr>
                <w:rFonts w:cs="Verdana" w:ascii="Verdana" w:hAnsi="Verdana"/>
                <w:sz w:val="20"/>
                <w:szCs w:val="20"/>
              </w:rPr>
              <w:t xml:space="preserve">But are technology companies selling their product to utilities and energy service providers? The answer is no. In the past, utilities spent millions of dollars on legacy systems that are completely useless now. They don't want to spend that kind of money again and that's where application service providers become important. Energy service providers and utilities don't need to purchase systems outright. Instead, they can lease out applications already developed by companies serving the industry, the more pieces the better. In this way, they can test out multiple options before making any major decisions. </w:t>
            </w:r>
          </w:p>
          <w:p>
            <w:pPr>
              <w:pStyle w:val="NormalWeb"/>
              <w:rPr>
                <w:rFonts w:ascii="Verdana" w:hAnsi="Verdana" w:cs="Verdana"/>
                <w:sz w:val="20"/>
                <w:szCs w:val="20"/>
              </w:rPr>
            </w:pPr>
            <w:r>
              <w:rPr>
                <w:rFonts w:cs="Verdana" w:ascii="Verdana" w:hAnsi="Verdana"/>
                <w:sz w:val="20"/>
                <w:szCs w:val="20"/>
              </w:rPr>
              <w:t xml:space="preserve">"One of the trends here in terms of CIS (customer information systems) and CRM (customer relationship management) systems is touching upon energy delivery and the energy commodity space," said Aberdeen's Cohen. "When you link IT systems together, and I think you need to link them together in the face of deregulation and competition, it is more compelling from a business perspective because it gives them options and flexibility they didn't have before." </w:t>
            </w:r>
          </w:p>
          <w:p>
            <w:pPr>
              <w:pStyle w:val="NormalWeb"/>
              <w:rPr>
                <w:rFonts w:ascii="Verdana" w:hAnsi="Verdana" w:cs="Verdana"/>
                <w:sz w:val="20"/>
                <w:szCs w:val="20"/>
              </w:rPr>
            </w:pPr>
            <w:r>
              <w:rPr>
                <w:rFonts w:cs="Verdana" w:ascii="Verdana" w:hAnsi="Verdana"/>
                <w:sz w:val="20"/>
                <w:szCs w:val="20"/>
              </w:rPr>
              <w:t xml:space="preserve">Atlanta, Ga.-based Peace Software is a good example of the phenomenon because nobody else is offering the same functionality it offers, said Cohen. </w:t>
            </w:r>
          </w:p>
          <w:p>
            <w:pPr>
              <w:pStyle w:val="NormalWeb"/>
              <w:rPr>
                <w:rFonts w:ascii="Verdana" w:hAnsi="Verdana" w:cs="Verdana"/>
                <w:sz w:val="20"/>
                <w:szCs w:val="20"/>
              </w:rPr>
            </w:pPr>
            <w:r>
              <w:rPr>
                <w:rFonts w:cs="Verdana" w:ascii="Verdana" w:hAnsi="Verdana"/>
                <w:sz w:val="20"/>
                <w:szCs w:val="20"/>
              </w:rPr>
              <w:t xml:space="preserve">Last week, Peace released its new Energy system, version 6.0, targeting the retail energy business. The company has focused its attention on utility and energy service companies wanting to serve deregulated energy markets. The newest edition includes both customer relationship management functions and commodity management functions. </w:t>
            </w:r>
          </w:p>
          <w:p>
            <w:pPr>
              <w:pStyle w:val="NormalWeb"/>
              <w:rPr>
                <w:rFonts w:ascii="Verdana" w:hAnsi="Verdana" w:cs="Verdana"/>
                <w:sz w:val="20"/>
                <w:szCs w:val="20"/>
              </w:rPr>
            </w:pPr>
            <w:r>
              <w:drawing>
                <wp:anchor behindDoc="0" distT="0" distB="0" distL="0" distR="0" simplePos="0" locked="0" layoutInCell="1" allowOverlap="1" relativeHeight="4">
                  <wp:simplePos x="0" y="0"/>
                  <wp:positionH relativeFrom="column">
                    <wp:posOffset>-1515745</wp:posOffset>
                  </wp:positionH>
                  <wp:positionV relativeFrom="line">
                    <wp:posOffset>-6822440</wp:posOffset>
                  </wp:positionV>
                  <wp:extent cx="1838325" cy="609600"/>
                  <wp:effectExtent l="0" t="0" r="0" b="0"/>
                  <wp:wrapSquare wrapText="bothSides"/>
                  <wp:docPr id="3" name="pic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2" descr="" title=""/>
                          <pic:cNvPicPr>
                            <a:picLocks noChangeAspect="1" noChangeArrowheads="1"/>
                          </pic:cNvPicPr>
                        </pic:nvPicPr>
                        <pic:blipFill>
                          <a:blip r:embed="rId5"/>
                          <a:srcRect l="-20" t="-59" r="-20" b="-59"/>
                          <a:stretch>
                            <a:fillRect/>
                          </a:stretch>
                        </pic:blipFill>
                        <pic:spPr bwMode="auto">
                          <a:xfrm>
                            <a:off x="0" y="0"/>
                            <a:ext cx="1838325" cy="609600"/>
                          </a:xfrm>
                          <a:prstGeom prst="rect">
                            <a:avLst/>
                          </a:prstGeom>
                          <a:noFill/>
                        </pic:spPr>
                      </pic:pic>
                    </a:graphicData>
                  </a:graphic>
                </wp:anchor>
              </w:drawing>
            </w:r>
            <w:r>
              <w:rPr>
                <w:rFonts w:cs="Verdana" w:ascii="Verdana" w:hAnsi="Verdana"/>
                <w:sz w:val="20"/>
                <w:szCs w:val="20"/>
              </w:rPr>
              <w:t xml:space="preserve">It's the first system of its type on the market that combines two major systems into one, which makes it easier for the company's clients to enter deregulated markets, said Paul Grey, chief technology officer for Peace. Since it is serving multiple markets and geographies, Peace was able to "adapt different business processes and market models in each of the energy markets, and market models do change over time, so configurability is very important," he said. </w:t>
            </w:r>
          </w:p>
          <w:p>
            <w:pPr>
              <w:pStyle w:val="NormalWeb"/>
              <w:rPr>
                <w:rFonts w:ascii="Verdana" w:hAnsi="Verdana" w:cs="Verdana"/>
                <w:sz w:val="20"/>
                <w:szCs w:val="20"/>
              </w:rPr>
            </w:pPr>
            <w:r>
              <w:rPr>
                <w:rFonts w:cs="Verdana" w:ascii="Verdana" w:hAnsi="Verdana"/>
                <w:sz w:val="20"/>
                <w:szCs w:val="20"/>
              </w:rPr>
              <w:t xml:space="preserve">Energy version 6.0 uses browser interface technology rather than Web functionality. Customers can use the browser to access all of the different energy applications. The browser "is a major factor in how effective call centers can work and in (reducing) the total cost of providing customer service," Grey said. </w:t>
            </w:r>
          </w:p>
          <w:p>
            <w:pPr>
              <w:pStyle w:val="NormalWeb"/>
              <w:rPr>
                <w:rFonts w:ascii="Verdana" w:hAnsi="Verdana" w:cs="Verdana"/>
                <w:sz w:val="20"/>
                <w:szCs w:val="20"/>
              </w:rPr>
            </w:pPr>
            <w:r>
              <w:rPr>
                <w:rFonts w:cs="Verdana" w:ascii="Verdana" w:hAnsi="Verdana"/>
                <w:sz w:val="20"/>
                <w:szCs w:val="20"/>
              </w:rPr>
              <w:t xml:space="preserve">Some of the benefits to having a browser-based technology include very rapid deployment and usability. The technology is based on a "collection of technologies which are designed for rapid deployment and are designed so that it is easy to customize a privately branded Web site for these companies," he said. </w:t>
            </w:r>
          </w:p>
          <w:p>
            <w:pPr>
              <w:pStyle w:val="NormalWeb"/>
              <w:rPr>
                <w:rFonts w:ascii="Verdana" w:hAnsi="Verdana" w:cs="Verdana"/>
                <w:sz w:val="20"/>
                <w:szCs w:val="20"/>
              </w:rPr>
            </w:pPr>
            <w:r>
              <w:rPr>
                <w:rFonts w:cs="Verdana" w:ascii="Verdana" w:hAnsi="Verdana"/>
                <w:sz w:val="20"/>
                <w:szCs w:val="20"/>
              </w:rPr>
              <w:t xml:space="preserve">The new system allows industrial customers to view their demand profiles online with three-dimensional visualization technology. It also compares load profiles with trends in the wholesale spot markets. Energy also allows customers to view commodity prices in a real-time environment so they can better manage their usage during peak energy use times. </w:t>
            </w:r>
          </w:p>
          <w:p>
            <w:pPr>
              <w:pStyle w:val="NormalWeb"/>
              <w:rPr/>
            </w:pPr>
            <w:r>
              <w:rPr>
                <w:rFonts w:cs="Verdana" w:ascii="Verdana" w:hAnsi="Verdana"/>
                <w:b/>
                <w:bCs/>
                <w:sz w:val="20"/>
                <w:szCs w:val="20"/>
              </w:rPr>
              <w:t>The IT strategy</w:t>
            </w:r>
            <w:r>
              <w:rPr>
                <w:rFonts w:cs="Verdana" w:ascii="Verdana" w:hAnsi="Verdana"/>
                <w:sz w:val="20"/>
                <w:szCs w:val="20"/>
              </w:rPr>
              <w:br/>
              <w:t xml:space="preserve">"Utilities are going to have to question their own philosophy and strategy about integration and how different solutions cater to their strategic objectives," said Cohen. He added that the market can almost track a company's business strategy based on the IT platform it institutes because every technology vendor has its own agenda, either CIS, CRM, risk management or a combination of all three. </w:t>
            </w:r>
          </w:p>
          <w:p>
            <w:pPr>
              <w:pStyle w:val="NormalWeb"/>
              <w:rPr>
                <w:rFonts w:ascii="Verdana" w:hAnsi="Verdana" w:cs="Verdana"/>
                <w:sz w:val="20"/>
                <w:szCs w:val="20"/>
              </w:rPr>
            </w:pPr>
            <w:r>
              <w:rPr>
                <w:rFonts w:cs="Verdana" w:ascii="Verdana" w:hAnsi="Verdana"/>
                <w:sz w:val="20"/>
                <w:szCs w:val="20"/>
              </w:rPr>
              <w:t xml:space="preserve">Jill Feblowitz, research director for Boston-based AMR Research's utilities practice, agreed with Cohen to a certain extent. She said that if a company institutes a new CRM system, it is "going to work hard on its customer retention programs. It's a financial commitment so you can tell that's going to be an important strategy for them." </w:t>
            </w:r>
          </w:p>
          <w:p>
            <w:pPr>
              <w:pStyle w:val="NormalWeb"/>
              <w:rPr>
                <w:rFonts w:ascii="Verdana" w:hAnsi="Verdana" w:cs="Verdana"/>
                <w:sz w:val="20"/>
                <w:szCs w:val="20"/>
              </w:rPr>
            </w:pPr>
            <w:r>
              <w:rPr>
                <w:rFonts w:cs="Verdana" w:ascii="Verdana" w:hAnsi="Verdana"/>
                <w:sz w:val="20"/>
                <w:szCs w:val="20"/>
              </w:rPr>
              <w:t xml:space="preserve">EDS' Miller said that conclusion could be misleading because the industry has so recently moved toward deregulation that companies experimenting with different technologies are trying out numerous systems and processes to find their particular niche in the competitive marketplace. </w:t>
            </w:r>
          </w:p>
          <w:p>
            <w:pPr>
              <w:pStyle w:val="NormalWeb"/>
              <w:rPr>
                <w:rFonts w:ascii="Verdana" w:hAnsi="Verdana" w:cs="Verdana"/>
                <w:sz w:val="20"/>
                <w:szCs w:val="20"/>
              </w:rPr>
            </w:pPr>
            <w:r>
              <w:rPr>
                <w:rFonts w:cs="Verdana" w:ascii="Verdana" w:hAnsi="Verdana"/>
                <w:sz w:val="20"/>
                <w:szCs w:val="20"/>
              </w:rPr>
              <w:t xml:space="preserve">"With retail energy suppliers, people are beginning to understand more and more, because there is such a thin margin on the sale of energy commodity, they can't afford to make mistakes in terms of how they obtain the quantity; that fortunes can be won and lost so companies need as much information as possible so they can obtain the very best prices," said Feblowitz. </w:t>
            </w:r>
          </w:p>
          <w:p>
            <w:pPr>
              <w:pStyle w:val="NormalWeb"/>
              <w:rPr>
                <w:rFonts w:ascii="Verdana" w:hAnsi="Verdana" w:cs="Verdana"/>
                <w:sz w:val="20"/>
                <w:szCs w:val="20"/>
              </w:rPr>
            </w:pPr>
            <w:r>
              <w:rPr>
                <w:rFonts w:cs="Verdana" w:ascii="Verdana" w:hAnsi="Verdana"/>
                <w:sz w:val="20"/>
                <w:szCs w:val="20"/>
              </w:rPr>
              <w:t xml:space="preserve">She added that there's very limited CRM functionality right now, but the market has huge potential, especially in finding out market information such as customer energy consumption habits and using that information to target customers. "Right now, it's really in its beginning stages." </w:t>
            </w:r>
          </w:p>
          <w:p>
            <w:pPr>
              <w:pStyle w:val="NormalWeb"/>
              <w:jc w:val="center"/>
              <w:rPr/>
            </w:pPr>
            <w:hyperlink r:id="rId6">
              <w:r>
                <w:rPr>
                  <w:rStyle w:val="Hyperlink"/>
                  <w:rFonts w:cs="Verdana" w:ascii="Verdana" w:hAnsi="Verdana"/>
                  <w:b/>
                  <w:bCs/>
                  <w:sz w:val="20"/>
                  <w:szCs w:val="20"/>
                </w:rPr>
                <w:t>Previous Analysis</w:t>
              </w:r>
              <w:r>
                <w:rPr>
                  <w:rStyle w:val="Hyperlink"/>
                  <w:rFonts w:cs="Verdana" w:ascii="Verdana" w:hAnsi="Verdana"/>
                  <w:sz w:val="20"/>
                  <w:szCs w:val="20"/>
                </w:rPr>
                <w:t xml:space="preserve"> </w:t>
              </w:r>
            </w:hyperlink>
          </w:p>
          <w:tbl>
            <w:tblPr>
              <w:tblW w:w="5000" w:type="pct"/>
              <w:jc w:val="start"/>
              <w:tblInd w:w="8" w:type="dxa"/>
              <w:tblLayout w:type="fixed"/>
              <w:tblCellMar>
                <w:top w:w="15" w:type="dxa"/>
                <w:start w:w="15" w:type="dxa"/>
                <w:bottom w:w="15" w:type="dxa"/>
                <w:end w:w="15" w:type="dxa"/>
              </w:tblCellMar>
            </w:tblPr>
            <w:tblGrid>
              <w:gridCol w:w="11767"/>
            </w:tblGrid>
            <w:tr>
              <w:trPr/>
              <w:tc>
                <w:tcPr>
                  <w:tcW w:w="11767" w:type="dxa"/>
                  <w:tcBorders/>
                  <w:vAlign w:val="center"/>
                </w:tcPr>
                <w:p>
                  <w:pPr>
                    <w:pStyle w:val="Normal"/>
                    <w:jc w:val="center"/>
                    <w:rPr>
                      <w:rFonts w:ascii="Arial Unicode MS" w:hAnsi="Arial Unicode MS" w:eastAsia="Arial Unicode MS" w:cs="Arial Unicode MS"/>
                    </w:rPr>
                  </w:pPr>
                  <w:r>
                    <w:fldChar w:fldCharType="begin"/>
                  </w:r>
                  <w:r>
                    <w:rPr>
                      <w:rStyle w:val="Hyperlink"/>
                      <w:sz w:val="20"/>
                      <w:b/>
                      <w:szCs w:val="20"/>
                      <w:bCs/>
                      <w:rFonts w:cs="Verdana" w:ascii="Verdana" w:hAnsi="Verdana"/>
                    </w:rPr>
                    <w:instrText xml:space="preserve"> HYPERLINK "http://public.resdata.com/ei_modules/services/main.asp" \l "top"</w:instrText>
                  </w:r>
                  <w:r>
                    <w:rPr>
                      <w:rStyle w:val="Hyperlink"/>
                      <w:sz w:val="20"/>
                      <w:b/>
                      <w:szCs w:val="20"/>
                      <w:bCs/>
                      <w:rFonts w:cs="Verdana" w:ascii="Verdana" w:hAnsi="Verdana"/>
                    </w:rPr>
                    <w:fldChar w:fldCharType="separate"/>
                  </w:r>
                  <w:r>
                    <w:rPr>
                      <w:rStyle w:val="Hyperlink"/>
                      <w:rFonts w:cs="Verdana" w:ascii="Verdana" w:hAnsi="Verdana"/>
                      <w:b/>
                      <w:bCs/>
                      <w:sz w:val="20"/>
                      <w:szCs w:val="20"/>
                    </w:rPr>
                    <w:t>Beginning of Story</w:t>
                  </w:r>
                  <w:r>
                    <w:rPr>
                      <w:rStyle w:val="Hyperlink"/>
                      <w:sz w:val="20"/>
                      <w:b/>
                      <w:szCs w:val="20"/>
                      <w:bCs/>
                      <w:rFonts w:cs="Verdana" w:ascii="Verdana" w:hAnsi="Verdana"/>
                    </w:rPr>
                    <w:fldChar w:fldCharType="end"/>
                  </w:r>
                  <w:r>
                    <w:rPr>
                      <w:rFonts w:cs="Verdana" w:ascii="Verdana" w:hAnsi="Verdana"/>
                      <w:sz w:val="20"/>
                      <w:szCs w:val="20"/>
                    </w:rPr>
                    <w:t xml:space="preserve"> </w:t>
                    <w:br/>
                    <w:br/>
                  </w:r>
                  <w:r>
                    <w:rPr>
                      <w:rFonts w:cs="Verdana" w:ascii="Verdana" w:hAnsi="Verdana"/>
                      <w:b/>
                      <w:bCs/>
                      <w:sz w:val="20"/>
                      <w:szCs w:val="20"/>
                    </w:rPr>
                    <w:t xml:space="preserve">Please </w:t>
                  </w:r>
                  <w:hyperlink r:id="rId7">
                    <w:r>
                      <w:rPr>
                        <w:rStyle w:val="Hyperlink"/>
                        <w:rFonts w:cs="Verdana" w:ascii="Verdana" w:hAnsi="Verdana"/>
                        <w:b/>
                        <w:bCs/>
                        <w:sz w:val="20"/>
                        <w:szCs w:val="20"/>
                      </w:rPr>
                      <w:t>let us know</w:t>
                    </w:r>
                  </w:hyperlink>
                  <w:r>
                    <w:rPr>
                      <w:rFonts w:cs="Verdana" w:ascii="Verdana" w:hAnsi="Verdana"/>
                      <w:b/>
                      <w:bCs/>
                      <w:sz w:val="20"/>
                      <w:szCs w:val="20"/>
                    </w:rPr>
                    <w:t xml:space="preserve"> what you think of Energy Insight. Your feedback is always appreciated.</w:t>
                  </w:r>
                  <w:r>
                    <w:rPr>
                      <w:rFonts w:cs="Verdana" w:ascii="Verdana" w:hAnsi="Verdana"/>
                      <w:sz w:val="20"/>
                      <w:szCs w:val="20"/>
                    </w:rPr>
                    <w:t xml:space="preserve"> </w:t>
                  </w:r>
                </w:p>
              </w:tc>
            </w:tr>
          </w:tbl>
          <w:p>
            <w:pPr>
              <w:pStyle w:val="Normal"/>
              <w:spacing w:before="0" w:after="240"/>
              <w:rPr/>
            </w:pPr>
            <w:r>
              <w:rPr/>
            </w:r>
          </w:p>
          <w:p>
            <w:pPr>
              <w:pStyle w:val="NormalWeb"/>
              <w:jc w:val="center"/>
              <w:rPr/>
            </w:pPr>
            <w:hyperlink r:id="rId8">
              <w:r>
                <w:rPr>
                  <w:rStyle w:val="Hyperlink"/>
                  <w:rFonts w:cs="Verdana" w:ascii="Verdana" w:hAnsi="Verdana"/>
                  <w:sz w:val="15"/>
                  <w:szCs w:val="15"/>
                </w:rPr>
                <w:t>Copyright © 2000 - Financial Times Energy. All Rights Reserved</w:t>
              </w:r>
            </w:hyperlink>
            <w:r>
              <w:rPr>
                <w:rFonts w:cs="Verdana" w:ascii="Verdana" w:hAnsi="Verdana"/>
                <w:sz w:val="15"/>
                <w:szCs w:val="15"/>
              </w:rPr>
              <w:t xml:space="preserve"> </w:t>
            </w:r>
          </w:p>
          <w:p>
            <w:pPr>
              <w:pStyle w:val="Normal"/>
              <w:rPr>
                <w:rFonts w:ascii="Arial Unicode MS" w:hAnsi="Arial Unicode MS" w:eastAsia="Arial Unicode MS" w:cs="Arial Unicode MS"/>
              </w:rPr>
            </w:pPr>
            <w:r>
              <w:rPr/>
              <w:br/>
              <w:br/>
            </w:r>
          </w:p>
        </w:tc>
      </w:tr>
    </w:tbl>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paven@ftenergy.com"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hyperlink" Target="http://public.resdata.com/archive/services/2000/12/06/main.asp" TargetMode="External"/><Relationship Id="rId7" Type="http://schemas.openxmlformats.org/officeDocument/2006/relationships/hyperlink" Target="http://public.resdata.com/ei_modules/Essentials/feedback.asp" TargetMode="External"/><Relationship Id="rId8" Type="http://schemas.openxmlformats.org/officeDocument/2006/relationships/hyperlink" Target="http://public.resdata.com/ei_modules/Essentials/copyright.asp"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2000-12-13T13:58:00Z</dcterms:created>
  <dc:creator>mbuster</dc:creator>
  <dc:description/>
  <dc:language>en-CA</dc:language>
  <cp:lastModifiedBy>mbuster</cp:lastModifiedBy>
  <dcterms:modified xsi:type="dcterms:W3CDTF">2000-12-13T14:34:00Z</dcterms:modified>
  <cp:revision>1</cp:revision>
  <dc:subject/>
  <dc:title>Wednesday, December 13, 2000 </dc:title>
</cp:coreProperties>
</file>