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EES BUSINESS INTELLIGENCE SUPPORT</w:t>
      </w:r>
    </w:p>
    <w:p>
      <w:pPr>
        <w:pStyle w:val="Heading"/>
        <w:rPr/>
      </w:pPr>
      <w:r>
        <w:rPr/>
        <w:t>DEREGULATION HIGHLIGHTS</w:t>
      </w:r>
    </w:p>
    <w:p>
      <w:pPr>
        <w:pStyle w:val="Heading"/>
        <w:rPr/>
      </w:pPr>
      <w:r>
        <w:rPr/>
        <w:t>WEEK OF 11/13</w:t>
      </w:r>
    </w:p>
    <w:p>
      <w:pPr>
        <w:pStyle w:val="Heading"/>
        <w:rPr>
          <w:b w:val="false"/>
          <w:i w:val="false"/>
          <w:i w:val="false"/>
          <w:sz w:val="20"/>
        </w:rPr>
      </w:pPr>
      <w:r>
        <w:rPr>
          <w:b w:val="false"/>
          <w:i w:val="false"/>
          <w:sz w:val="20"/>
        </w:rPr>
      </w:r>
    </w:p>
    <w:p>
      <w:pPr>
        <w:pStyle w:val="Heading"/>
        <w:jc w:val="start"/>
        <w:rPr>
          <w:b w:val="false"/>
          <w:i w:val="false"/>
          <w:i w:val="false"/>
          <w:color w:val="0000FF"/>
          <w:sz w:val="20"/>
        </w:rPr>
      </w:pPr>
      <w:r>
        <w:rPr>
          <w:b w:val="false"/>
          <w:i w:val="false"/>
          <w:color w:val="0000FF"/>
          <w:sz w:val="20"/>
        </w:rPr>
      </w:r>
    </w:p>
    <w:p>
      <w:pPr>
        <w:pStyle w:val="Normal"/>
        <w:spacing w:lineRule="atLeast" w:line="240"/>
        <w:rPr/>
      </w:pPr>
      <w:r>
        <w:rPr>
          <w:b/>
          <w:color w:val="0000FF"/>
        </w:rPr>
        <w:t xml:space="preserve">CALIFORNIA: </w:t>
      </w:r>
      <w:r>
        <w:rPr>
          <w:color w:val="000000"/>
        </w:rPr>
        <w:t>In an effort to head off a recurrence of the price spikes that hit California last summer, FERC has proposed a process that will make significant changes to the operation and management of the California Power Exchange and ISO. The recommendations include:</w:t>
      </w:r>
    </w:p>
    <w:p>
      <w:pPr>
        <w:pStyle w:val="Normal"/>
        <w:spacing w:lineRule="atLeast" w:line="240"/>
        <w:rPr>
          <w:color w:val="000000"/>
        </w:rPr>
      </w:pPr>
      <w:r>
        <w:rPr>
          <w:color w:val="000000"/>
        </w:rPr>
      </w:r>
    </w:p>
    <w:p>
      <w:pPr>
        <w:pStyle w:val="Normal"/>
        <w:numPr>
          <w:ilvl w:val="0"/>
          <w:numId w:val="3"/>
        </w:numPr>
        <w:spacing w:lineRule="atLeast" w:line="240"/>
        <w:rPr>
          <w:color w:val="000000"/>
        </w:rPr>
      </w:pPr>
      <w:r>
        <w:rPr>
          <w:color w:val="000000"/>
        </w:rPr>
        <w:t xml:space="preserve">Utilities would no longer be required to buy and sell all of their power from the PX </w:t>
      </w:r>
    </w:p>
    <w:p>
      <w:pPr>
        <w:pStyle w:val="Normal"/>
        <w:numPr>
          <w:ilvl w:val="0"/>
          <w:numId w:val="2"/>
        </w:numPr>
        <w:spacing w:lineRule="atLeast" w:line="240"/>
        <w:rPr>
          <w:color w:val="000000"/>
        </w:rPr>
      </w:pPr>
      <w:r>
        <w:rPr>
          <w:color w:val="000000"/>
        </w:rPr>
        <w:t xml:space="preserve">The stake-holder Boards of the PX and ISO would be abolished within 90 days and replaced by independent boards </w:t>
      </w:r>
    </w:p>
    <w:p>
      <w:pPr>
        <w:pStyle w:val="Normal"/>
        <w:numPr>
          <w:ilvl w:val="0"/>
          <w:numId w:val="5"/>
        </w:numPr>
        <w:spacing w:lineRule="atLeast" w:line="240"/>
        <w:rPr>
          <w:color w:val="000000"/>
        </w:rPr>
      </w:pPr>
      <w:r>
        <w:rPr>
          <w:color w:val="000000"/>
        </w:rPr>
        <w:t xml:space="preserve">Elimination of the $250/MWh price cap following a 60 day transition period </w:t>
      </w:r>
    </w:p>
    <w:p>
      <w:pPr>
        <w:pStyle w:val="Normal"/>
        <w:numPr>
          <w:ilvl w:val="0"/>
          <w:numId w:val="5"/>
        </w:numPr>
        <w:spacing w:lineRule="atLeast" w:line="240"/>
        <w:rPr>
          <w:color w:val="000000"/>
        </w:rPr>
      </w:pPr>
      <w:r>
        <w:rPr>
          <w:color w:val="000000"/>
        </w:rPr>
        <w:t xml:space="preserve">Elimination of the single price bid mechanism for prices above $150/MWh. In the past all bidders received the price bid by the highest bidder accepted for dispatch. This will continue to occur for bids less than $150/MWh, but for higher bids, only the bidder receives the higher price. Others will be capped at $150/MWh. </w:t>
      </w:r>
    </w:p>
    <w:p>
      <w:pPr>
        <w:pStyle w:val="Normal"/>
        <w:numPr>
          <w:ilvl w:val="0"/>
          <w:numId w:val="6"/>
        </w:numPr>
        <w:spacing w:lineRule="atLeast" w:line="240"/>
        <w:rPr>
          <w:color w:val="000000"/>
        </w:rPr>
      </w:pPr>
      <w:r>
        <w:rPr>
          <w:color w:val="000000"/>
        </w:rPr>
        <w:t xml:space="preserve">Utilities must schedule at least 95% of their power in the day ahead markets thus limiting their ability to hold back power for the more lucrative spot markets </w:t>
      </w:r>
    </w:p>
    <w:p>
      <w:pPr>
        <w:pStyle w:val="Normal"/>
        <w:numPr>
          <w:ilvl w:val="0"/>
          <w:numId w:val="4"/>
        </w:numPr>
        <w:spacing w:lineRule="atLeast" w:line="240"/>
        <w:rPr>
          <w:color w:val="000000"/>
        </w:rPr>
      </w:pPr>
      <w:r>
        <w:rPr>
          <w:color w:val="000000"/>
        </w:rPr>
        <w:t xml:space="preserve">The California ISO must come up with a new mechanism for congestion management </w:t>
      </w:r>
    </w:p>
    <w:p>
      <w:pPr>
        <w:pStyle w:val="Normal"/>
        <w:spacing w:lineRule="atLeast" w:line="240"/>
        <w:rPr>
          <w:color w:val="000000"/>
        </w:rPr>
      </w:pPr>
      <w:r>
        <w:rPr>
          <w:color w:val="000000"/>
        </w:rPr>
      </w:r>
    </w:p>
    <w:p>
      <w:pPr>
        <w:pStyle w:val="BodyText2"/>
        <w:rPr>
          <w:rFonts w:ascii="Arial" w:hAnsi="Arial" w:cs="Arial"/>
          <w:lang w:eastAsia="en-CA"/>
        </w:rPr>
      </w:pPr>
      <w:r>
        <w:rPr>
          <w:rFonts w:cs="Arial" w:ascii="Arial" w:hAnsi="Arial"/>
          <w:lang w:eastAsia="en-CA"/>
        </w:rPr>
        <w:t>From my point of view, it is good to see FERC getting involved with positive proposals that address the problems of last summer. Some critics believe that FERC may be overreaching its authority, and of course, we will not know for sure if these fixes work until next summer.</w:t>
      </w:r>
    </w:p>
    <w:p>
      <w:pPr>
        <w:pStyle w:val="Normal"/>
        <w:spacing w:lineRule="atLeast" w:line="240"/>
        <w:rPr>
          <w:rFonts w:ascii="Arial" w:hAnsi="Arial" w:cs="Arial"/>
          <w:color w:val="000000"/>
          <w:lang w:eastAsia="en-CA"/>
        </w:rPr>
      </w:pPr>
      <w:r>
        <w:rPr>
          <w:rFonts w:cs="Arial"/>
          <w:color w:val="000000"/>
          <w:lang w:eastAsia="en-CA"/>
        </w:rPr>
      </w:r>
    </w:p>
    <w:p>
      <w:pPr>
        <w:pStyle w:val="Normal"/>
        <w:spacing w:lineRule="atLeast" w:line="240"/>
        <w:rPr>
          <w:rFonts w:ascii="Helv" w:hAnsi="Helv" w:cs="Helv"/>
          <w:color w:val="000000"/>
          <w:lang w:eastAsia="en-US"/>
        </w:rPr>
      </w:pPr>
      <w:r>
        <w:rPr>
          <w:rFonts w:cs="Helv" w:ascii="Helv" w:hAnsi="Helv"/>
          <w:color w:val="000000"/>
          <w:lang w:eastAsia="en-US"/>
        </w:rPr>
        <w:t>Pacific Gas &amp; Electric Co. filed a complaint in federal district court in San Francisco, seeking authority to recover billions of dollars in debt the utility has incurred in wholesale power costs through retail rates, the company announced.  The company said the court action is needed to protect the utility's legal rights and financial viability "so that we can continue to provide the utility services on which our customers rely. "The (California Public Utilities Commission), federal regulators and other public officials have all acknowledged that the current wholesale power market is broken and not capable of producing competitive wholesale energy prices," said Roger Peters, senior vice president and general counsel of PG&amp;E. "However, there has not yet been any concrete action by regulators to provide for recovery of the costs we have incurred to purchase the power our customers must have, either through refunds from power generators who charged unfair prices, or through retail rates."  State regulators have refused to immediately end a rate freeze, which PG&amp;E claims ended in August pending the valuation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Helv" w:hAnsi="Helv" w:cs="Helv"/>
          <w:color w:val="000000"/>
          <w:lang w:eastAsia="en-US"/>
        </w:rPr>
      </w:pPr>
      <w:r>
        <w:rPr>
          <w:rFonts w:cs="Helv" w:ascii="Helv" w:hAnsi="Helv"/>
          <w:color w:val="000000"/>
          <w:lang w:eastAsia="en-US"/>
        </w:rPr>
        <w:t xml:space="preserve">its hydro assets. Ending the rate freeze would allow the utility to charge customers a higher rate for power.  The PG&amp;E Corp. unit has amassed a $3 billion debt based on the differences between the price it pays for wholesale power and what it charges its customers under a state-mandated rate freeze.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Helv" w:hAnsi="Helv" w:cs="Helv"/>
          <w:color w:val="000000"/>
          <w:lang w:eastAsia="en-US"/>
        </w:rPr>
      </w:pPr>
      <w:r>
        <w:rPr>
          <w:rFonts w:cs="Helv" w:ascii="Helv" w:hAnsi="Helv"/>
          <w:color w:val="000000"/>
          <w:lang w:eastAsia="en-US"/>
        </w:rPr>
        <w:t xml:space="preserve">Edison International unit Southern California Edison, which is also trying to collect more than $2 billion in wholesale power costs from its customers, said it just learned about PG&amp;E's filing, but it has no immediate plans to file a similar lawsuit at this time. </w:t>
      </w:r>
    </w:p>
    <w:p>
      <w:pPr>
        <w:pStyle w:val="Normal"/>
        <w:spacing w:lineRule="atLeast" w:line="240"/>
        <w:rPr>
          <w:rFonts w:eastAsia="Arial"/>
          <w:color w:val="000000"/>
        </w:rPr>
      </w:pPr>
      <w:r>
        <w:rPr>
          <w:rFonts w:eastAsia="Arial"/>
          <w:color w:val="000000"/>
        </w:rPr>
        <w:t xml:space="preserve"> </w:t>
      </w:r>
    </w:p>
    <w:p>
      <w:pPr>
        <w:pStyle w:val="BodyText"/>
        <w:rPr>
          <w:rFonts w:ascii="Helv" w:hAnsi="Helv" w:cs="Helv"/>
          <w:color w:val="FF0000"/>
        </w:rPr>
      </w:pPr>
      <w:r>
        <w:rPr>
          <w:rFonts w:cs="Helv" w:ascii="Helv" w:hAnsi="Helv"/>
          <w:color w:val="FF0000"/>
        </w:rPr>
        <w:t>Two generators' recent decisions not to construct peaking power units in California may presage more difficulties with the Independent System Operator's plan to secure 1,800 megawatts of peaker power for use by summer 2001.  Calpine Corp. said it was withdrawing permit applications for three peaker projects of 91 MW each. Last week, Enron said it was withdrawing its bid to construct 300 MW of peakers in California.  Both companies cited economic concerns and time constraints as primary reasons for their decisions.</w:t>
      </w:r>
    </w:p>
    <w:p>
      <w:pPr>
        <w:pStyle w:val="Normal"/>
        <w:spacing w:lineRule="atLeast" w:line="240"/>
        <w:rPr>
          <w:rFonts w:ascii="Helv" w:hAnsi="Helv" w:cs="Helv"/>
          <w:color w:val="000000"/>
        </w:rPr>
      </w:pPr>
      <w:r>
        <w:rPr>
          <w:rFonts w:cs="Helv" w:ascii="Helv" w:hAnsi="Helv"/>
          <w:color w:val="000000"/>
        </w:rPr>
      </w:r>
    </w:p>
    <w:p>
      <w:pPr>
        <w:pStyle w:val="Normal"/>
        <w:rPr/>
      </w:pPr>
      <w:r>
        <w:rPr>
          <w:b/>
          <w:color w:val="0000FF"/>
        </w:rPr>
        <w:t>CONNECTICUT:</w:t>
      </w:r>
      <w:r>
        <w:rPr>
          <w:color w:val="000000"/>
        </w:rPr>
        <w:t xml:space="preserve"> </w:t>
      </w:r>
      <w:r>
        <w:rPr>
          <w:color w:val="000000"/>
          <w:lang w:eastAsia="en-US"/>
        </w:rPr>
        <w:t xml:space="preserve">Connecticut-based Energy America will limit itself to 35,000 residential and small business customers in New Jersey. Alex Hemerick, a spokeswoman for Energy America, said, "We're pulling out; we're not actively marketing. It's not economically feasible. We cannot bring a better price than the utility at this point." Meanwhile, Staci Berger, a representative for New Jersey Citizen Action, stated of deregulation, "It's a huge social experiment that hasn't worked, and I'm not sure if and when it will. I'm just happy we have mandatory rate cuts." Some of the problem stems from rising electricity rates in the past 21 months since New Jersey deregulated its electricity market. The New Jersey deregulation law caps rates for three years, forcing existing utilities to pick up the tab and their customers get the reduced rates. However, Energy America and other third party suppliers must pay the </w:t>
      </w:r>
      <w:r>
        <w:rPr/>
        <w:t xml:space="preserve">higher market prices, which makes it difficult to compete against traditional utilities in New Jersey. Because of this, a smaller number of third party suppliers have entered the market and those that did opted to concentrate on industrial and commercial markets. Joan Goodman, a utilities analyst with Donaldson, Lufkin, and Jenrette, said of utilities, "They're not in the business of giving electricity away." She added, "I think people are scared and are not switching, even at lower prices." Energy America is one of the few companies that have given residential consumers the </w:t>
      </w:r>
      <w:r>
        <w:rPr>
          <w:color w:val="000000"/>
          <w:lang w:eastAsia="en-US"/>
        </w:rPr>
        <w:t>opportunity to switch. Most third party suppliers are concentrating on the more lucrative commercial and industrial market. The company was successful when it began marketing last fall after signing up 45,000 customers in three months. It did this through aggressive door-to-door solicitations and promises to take an additional 5 percent off the rates. But that December, Energy America had to shut down operations after approximately 350 customers filed complaints with the Division of Consumer Affairs and the Board of Public Utilities (BPU) regarding their sales tactics. After the BPU allowed the company to reenter the market, Energy America had 37,000 customers, but many have defected since. Hemerick noted, "We would reenter the market when it's economically feasible, when we can bring true savings to the door."</w:t>
      </w:r>
    </w:p>
    <w:p>
      <w:pPr>
        <w:pStyle w:val="Normal"/>
        <w:rPr>
          <w:color w:val="000000"/>
          <w:lang w:eastAsia="en-US"/>
        </w:rPr>
      </w:pPr>
      <w:r>
        <w:rPr>
          <w:color w:val="000000"/>
          <w:lang w:eastAsia="en-US"/>
        </w:rPr>
      </w:r>
    </w:p>
    <w:p>
      <w:pPr>
        <w:pStyle w:val="Normal"/>
        <w:rPr/>
      </w:pPr>
      <w:r>
        <w:rPr>
          <w:b/>
          <w:color w:val="0000FF"/>
        </w:rPr>
        <w:t xml:space="preserve">INDIANA: </w:t>
      </w:r>
      <w:r>
        <w:rPr>
          <w:color w:val="FF0000"/>
          <w:lang w:eastAsia="en-US"/>
        </w:rPr>
        <w:t>With an eye on California, Indiana legislators are avoiding a timeline for electric deregulation. Many legislators are saying that deregulation will be avoided during the next session of the General Assembly. While many states presently have a deadline to deregulate, Indiana does not. Indiana is</w:t>
      </w:r>
    </w:p>
    <w:p>
      <w:pPr>
        <w:pStyle w:val="Normal"/>
        <w:rPr/>
      </w:pPr>
      <w:r>
        <w:rPr>
          <w:color w:val="FF0000"/>
          <w:lang w:eastAsia="en-US"/>
        </w:rPr>
        <w:t>considered a slow-growth state in terms of the speed with which it is deregulating. However, interest in restructuring has been growing since Steel Dynamics, Inc., came online in American Electric Power's territory.  The facility was using as much electricity as the city of South Bend to produce steel. In addition, unlike California, Indiana does not depend on other states for the importation of electricity. It is unlikely that draft legislation written by the Indiana Electric Association will be acted on in the near future.</w:t>
      </w:r>
      <w:r>
        <w:rPr>
          <w:b/>
          <w:color w:val="FF0000"/>
        </w:rPr>
        <w:t xml:space="preserve"> </w:t>
      </w:r>
    </w:p>
    <w:p>
      <w:pPr>
        <w:pStyle w:val="Normal"/>
        <w:spacing w:lineRule="atLeast" w:line="240"/>
        <w:rPr>
          <w:b/>
          <w:color w:val="FF0000"/>
        </w:rPr>
      </w:pPr>
      <w:r>
        <w:rPr>
          <w:b/>
          <w:color w:val="FF0000"/>
        </w:rPr>
      </w:r>
    </w:p>
    <w:p>
      <w:pPr>
        <w:pStyle w:val="Normal"/>
        <w:spacing w:lineRule="atLeast" w:line="240"/>
        <w:rPr/>
      </w:pPr>
      <w:r>
        <w:rPr>
          <w:b/>
          <w:color w:val="0000FF"/>
        </w:rPr>
        <w:t xml:space="preserve">MASSACHUSETTS: </w:t>
      </w:r>
      <w:r>
        <w:rPr>
          <w:color w:val="000000"/>
        </w:rPr>
        <w:t xml:space="preserve">Attorney General Tom Reilly of Massachusetts criticized the Department of Telecommunications and Energy for quickly approving a 40% increase in the generation portion of bills going to default service customers. Starting December 1, default service customers will see an average increase of about $10 per month. Default service customers are those who have opened new service since March 1998. They account for about 20% of all consumers in Massachusetts. Others will remain on standard offer service at about 4.5 cents/kWh while default customers will be paying roughly 6-7 cents/kWh for generation. At some point, one has to believe that standard offer and default service will be brought together into a single market price. </w:t>
      </w:r>
      <w:r>
        <w:rPr>
          <w:color w:val="FF0000"/>
        </w:rPr>
        <w:t>In addition, Massachusetts consumers will soon begin paying off the deferral accounts -- those accounts that were set up to gather costs incurred by utilities when</w:t>
      </w:r>
    </w:p>
    <w:p>
      <w:pPr>
        <w:pStyle w:val="Normal"/>
        <w:spacing w:lineRule="atLeast" w:line="240"/>
        <w:rPr>
          <w:color w:val="FF0000"/>
        </w:rPr>
      </w:pPr>
      <w:r>
        <w:rPr>
          <w:color w:val="FF0000"/>
        </w:rPr>
        <w:t>they offered below market rates early in the competitive transition period. With this entire going on, Massachusetts’s residents may soon see outside competitors beginning to make offers. With a couple of exceptions such as Essential.com and Utility.com, the market has been pretty dead so far.</w:t>
      </w:r>
    </w:p>
    <w:p>
      <w:pPr>
        <w:pStyle w:val="FootnoteText"/>
        <w:spacing w:lineRule="atLeast" w:line="240"/>
        <w:rPr>
          <w:color w:val="FF0000"/>
        </w:rPr>
      </w:pPr>
      <w:r>
        <w:rPr>
          <w:color w:val="FF0000"/>
        </w:rPr>
      </w:r>
    </w:p>
    <w:p>
      <w:pPr>
        <w:pStyle w:val="Normal"/>
        <w:spacing w:lineRule="atLeast" w:line="240"/>
        <w:rPr/>
      </w:pPr>
      <w:r>
        <w:rPr>
          <w:b/>
          <w:color w:val="0000FF"/>
        </w:rPr>
        <w:t xml:space="preserve">MICHIGAN: </w:t>
      </w:r>
      <w:r>
        <w:rPr>
          <w:color w:val="FF0000"/>
          <w:lang w:eastAsia="en-US"/>
        </w:rPr>
        <w:t>Developers of four merchant power plants totaling 3,540 MW proposed for southwest Michigan may be facing their toughest foe by far in the person of boxing great Muhammed Ali.</w:t>
      </w:r>
    </w:p>
    <w:p>
      <w:pPr>
        <w:pStyle w:val="BodyText2"/>
        <w:tabs>
          <w:tab w:val="left" w:pos="0" w:leader="none"/>
          <w:tab w:val="left" w:pos="720" w:leader="none"/>
          <w:tab w:val="left" w:pos="1440" w:leader="none"/>
          <w:tab w:val="left" w:pos="2160" w:leader="none"/>
          <w:tab w:val="left" w:pos="2880" w:leader="none"/>
          <w:tab w:val="left" w:pos="3600" w:leader="none"/>
          <w:tab w:val="left" w:pos="4320" w:leader="none"/>
        </w:tabs>
        <w:rPr>
          <w:rFonts w:ascii="Arial" w:hAnsi="Arial" w:cs="Arial"/>
          <w:color w:val="000000"/>
        </w:rPr>
      </w:pPr>
      <w:r>
        <w:rPr>
          <w:rFonts w:cs="Arial" w:ascii="Arial" w:hAnsi="Arial"/>
        </w:rPr>
        <w:t>Ali, arguably the most recognizable person on the planet, has teamed with his wife, Lonnie, to form and help fund the Southwest Michigan Preservation Assn. to fight the natural gas-fired plants that would be located within a 20-mile radius of their country home in Berrien Springs, Mich.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Helv" w:hAnsi="Helv" w:cs="Helv"/>
          <w:color w:val="000000"/>
          <w:lang w:eastAsia="en-US"/>
        </w:rPr>
      </w:pPr>
      <w:r>
        <w:rPr>
          <w:rFonts w:cs="Helv" w:ascii="Helv" w:hAnsi="Helv"/>
          <w:color w:val="000000"/>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color w:val="FF0000"/>
          <w:lang w:eastAsia="en-US"/>
        </w:rPr>
      </w:pPr>
      <w:r>
        <w:rPr>
          <w:b/>
          <w:color w:val="0000FF"/>
        </w:rPr>
        <w:t xml:space="preserve">MONTANA: </w:t>
      </w:r>
      <w:r>
        <w:rPr>
          <w:color w:val="FF0000"/>
        </w:rPr>
        <w:t>Here is some additional information from a story from last week…</w:t>
      </w:r>
      <w:r>
        <w:rPr>
          <w:color w:val="000000"/>
        </w:rPr>
        <w:t xml:space="preserve">The Montana Public Service Commission has proposed delaying retail choice for all customers in Montana for two years until July 2004, the maximum delay allowed by law. They expressed concern that there are not enough suppliers to prevent monopoly pricing and to avoid the California scenario.  Large industrials, in fact, which have already chosen suppliers are petitioning to be returned to default service. Montana Power, however, has sold its generation to PPL, and has only contracted for enough power for the existing default customers. </w:t>
      </w:r>
      <w:r>
        <w:rPr>
          <w:color w:val="FF0000"/>
        </w:rPr>
        <w:t>If the rules are changed to allowed the large industrials to return, then Montana Power must either establish a deferral account (similar the ones in states such as Massachusetts) or face financial losses. Nearly all of Montana's rural co-ops, accounting for about 40% of power consumed in the state have opted out of competition.</w:t>
      </w:r>
      <w:r>
        <w:rPr>
          <w:color w:val="000000"/>
        </w:rPr>
        <w:t xml:space="preserve"> </w:t>
      </w:r>
    </w:p>
    <w:p>
      <w:pPr>
        <w:pStyle w:val="Normal"/>
        <w:spacing w:lineRule="atLeast" w:line="240"/>
        <w:rPr>
          <w:color w:val="000000"/>
          <w:lang w:eastAsia="en-US"/>
        </w:rPr>
      </w:pPr>
      <w:r>
        <w:rPr>
          <w:rFonts w:eastAsia="Arial"/>
          <w:b/>
          <w:color w:val="0000FF"/>
        </w:rPr>
        <w:t xml:space="preserve"> </w:t>
      </w:r>
    </w:p>
    <w:p>
      <w:pPr>
        <w:pStyle w:val="Normal"/>
        <w:rPr>
          <w:color w:val="FF0000"/>
        </w:rPr>
      </w:pPr>
      <w:r>
        <w:rPr>
          <w:b/>
          <w:color w:val="0000FF"/>
        </w:rPr>
        <w:t xml:space="preserve">OKALHOMA: </w:t>
      </w:r>
      <w:r>
        <w:rPr/>
        <w:t xml:space="preserve">Utility representatives have been speaking to civic organizations and legislators as part of their effort to deregulate Oklahoma's electricity market. At the heart of the lobbying effort are Oklahoma's two largest electric utilities, Oklahoma Gas and Electric and Public Service Company of Oklahoma, which together produce about 70 percent of Oklahoma's electricity. Tulsa energy consultant Dan Schooley said of the two big utilities, "How can people that own 70 percent of the market not exert market power? I have a concern that [deregulation] might not work with that kind of market power." Restructuring legislation will be reintroduced in the legislature once the new legislative session begins in February. The initiative failed twice in the House by a narrow margin and is vehemently opposed by consumer groups. The current measure would keep distribution systems and power lines under the auspice of the Oklahoma Corporation Commission (OCC) while allowing consumers to choose their electricity supplier. The measure would freeze rates for residential and small business customers until 2005 and until 2004 for large industrial customers. OG&amp;E representative Jim Wilson stated, "They can either go to the competitive market and take the competitive rate or they can stay on the regulated rate." </w:t>
      </w:r>
      <w:r>
        <w:rPr>
          <w:color w:val="FF0000"/>
        </w:rPr>
        <w:t>Wilson added that the OCC could extend the freeze if competition does not exist. Critics of deregulation point to California where bills more than doubled this year. But Wilson argued that the two states have very different markets because California must import 25 percent of its electricity.</w:t>
      </w:r>
    </w:p>
    <w:p>
      <w:pPr>
        <w:pStyle w:val="Normal"/>
        <w:rPr>
          <w:b/>
          <w:color w:val="FF0000"/>
        </w:rPr>
      </w:pPr>
      <w:r>
        <w:rPr>
          <w:b/>
          <w:color w:val="FF0000"/>
        </w:rPr>
      </w:r>
    </w:p>
    <w:p>
      <w:pPr>
        <w:pStyle w:val="Normal"/>
        <w:spacing w:lineRule="atLeast" w:line="240"/>
        <w:rPr/>
      </w:pPr>
      <w:r>
        <w:rPr>
          <w:b/>
          <w:color w:val="0000FF"/>
        </w:rPr>
        <w:t xml:space="preserve">COMPETITORS: </w:t>
      </w:r>
      <w:r>
        <w:rPr>
          <w:color w:val="FF0000"/>
        </w:rPr>
        <w:t>American Electric Power has announced that it will be splitting into two companies -- one to handle the wires business and the other to focus on wholesale generation, marketing, and trading. This is the trend in the industry with Southern and Xcel Energy among others pursuing similar reorganizations. In a time when wholesale markets are booming, why should the wholesale units of these large IOU's be saddled with "utility-like" price earnings ratios. The market cap of the two separate companies should be much higher than if they are combined into one entity.</w:t>
      </w:r>
      <w:r>
        <w:rPr>
          <w:b/>
          <w:color w:val="FF0000"/>
        </w:rPr>
        <w:t xml:space="preserve"> </w:t>
      </w:r>
    </w:p>
    <w:p>
      <w:pPr>
        <w:pStyle w:val="Normal"/>
        <w:spacing w:lineRule="atLeast" w:line="240"/>
        <w:rPr>
          <w:b/>
          <w:color w:val="FF0000"/>
        </w:rPr>
      </w:pPr>
      <w:r>
        <w:rPr>
          <w:b/>
          <w:color w:val="FF0000"/>
        </w:rPr>
      </w:r>
    </w:p>
    <w:p>
      <w:pPr>
        <w:pStyle w:val="Normal"/>
        <w:rPr>
          <w:b/>
          <w:color w:val="FF0000"/>
        </w:rPr>
      </w:pPr>
      <w:r>
        <w:rPr>
          <w:color w:val="FF0000"/>
        </w:rPr>
        <w:t>Centrica will purchase Direct Energy Marketing for C$912 million ($614 million) to take advantage of the deregulation of the North American power market. Included in the deal is Direct Energy's 27.5% stake in Energy America. Direct Energy has</w:t>
      </w:r>
      <w:r>
        <w:rPr>
          <w:color w:val="FF0000"/>
          <w:lang w:eastAsia="en-US"/>
        </w:rPr>
        <w:t xml:space="preserve"> 820,000 residential and business customers in Ontario, Manitoba and Quebec, as well as gas fields in Alberta with a production of 42 million cu ft/day, reserves of 230 billion cu ft and 10 billion cu ft of storage.</w:t>
      </w:r>
    </w:p>
    <w:p>
      <w:pPr>
        <w:pStyle w:val="Normal"/>
        <w:spacing w:lineRule="atLeast" w:line="240"/>
        <w:rPr>
          <w:rFonts w:eastAsia="Arial"/>
          <w:b/>
          <w:color w:val="0000FF"/>
        </w:rPr>
      </w:pPr>
      <w:r>
        <w:rPr>
          <w:rFonts w:eastAsia="Arial"/>
          <w:b/>
          <w:color w:val="0000FF"/>
        </w:rPr>
        <w:t xml:space="preserve"> </w:t>
      </w:r>
    </w:p>
    <w:p>
      <w:pPr>
        <w:pStyle w:val="Normal"/>
        <w:spacing w:lineRule="atLeast" w:line="240"/>
        <w:rPr/>
      </w:pPr>
      <w:r>
        <w:rPr>
          <w:b/>
          <w:color w:val="0000FF"/>
        </w:rPr>
        <w:t xml:space="preserve">DEALS: </w:t>
      </w:r>
      <w:r>
        <w:rPr>
          <w:color w:val="FF0000"/>
        </w:rPr>
        <w:t>Constellation Energy Source, signed a major energy management agreement with McCormick &amp; Company, Inc., an international producer of spices, seasonings, flavorings, and specialty foods.</w:t>
      </w:r>
    </w:p>
    <w:p>
      <w:pPr>
        <w:pStyle w:val="Normal"/>
        <w:spacing w:lineRule="atLeast" w:line="240"/>
        <w:rPr/>
      </w:pPr>
      <w:r>
        <w:rPr>
          <w:color w:val="FF0000"/>
        </w:rPr>
        <w:t>Constellation will develop a multi- faceted program providing McCormick with an on-going evaluation of energy consumption and a process to optimize energy use and minimize energy costs. Constellation Energy Source has also signed similar national energy outsource agreements in 2000 with The Rouse Company, The Mills Corporation, and Corporate Office Properties Trust.</w:t>
      </w:r>
      <w:r>
        <w:rPr>
          <w:b/>
          <w:color w:val="FF0000"/>
        </w:rPr>
        <w:t xml:space="preserve"> </w:t>
      </w:r>
    </w:p>
    <w:p>
      <w:pPr>
        <w:pStyle w:val="Normal"/>
        <w:spacing w:lineRule="atLeast" w:line="240"/>
        <w:rPr>
          <w:b/>
          <w:color w:val="FF0000"/>
        </w:rPr>
      </w:pPr>
      <w:r>
        <w:rPr>
          <w:b/>
          <w:color w:val="FF0000"/>
        </w:rPr>
      </w:r>
    </w:p>
    <w:p>
      <w:pPr>
        <w:pStyle w:val="BodyText2"/>
        <w:rPr>
          <w:rFonts w:ascii="Arial" w:hAnsi="Arial" w:cs="Arial"/>
          <w:lang w:eastAsia="en-CA"/>
        </w:rPr>
      </w:pPr>
      <w:r>
        <w:rPr>
          <w:rFonts w:cs="Arial" w:ascii="Arial" w:hAnsi="Arial"/>
          <w:lang w:eastAsia="en-CA"/>
        </w:rPr>
        <w:t>TXU has signed a $250 million, 25-year energy agreement with TelePlace Inc, a Florida-based provider of managed services and network connectivity. TXU will provide a comprehensive premium power solution will operate and maintaining all energy equipment and procuring power among other services.</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Times New Roman" w:hAnsi="Times New Roman" w:cs="Times New Roman" w:hint="default"/>
        <w:color w:val="000000"/>
      </w:rPr>
    </w:lvl>
  </w:abstractNum>
  <w:abstractNum w:abstractNumId="3">
    <w:lvl w:ilvl="0">
      <w:numFmt w:val="bullet"/>
      <w:lvlText w:val="-"/>
      <w:lvlJc w:val="start"/>
      <w:pPr>
        <w:tabs>
          <w:tab w:val="num" w:pos="720"/>
        </w:tabs>
        <w:ind w:start="720" w:hanging="720"/>
      </w:pPr>
      <w:rPr>
        <w:rFonts w:ascii="Times New Roman" w:hAnsi="Times New Roman" w:cs="Times New Roman" w:hint="default"/>
        <w:color w:val="000000"/>
      </w:rPr>
    </w:lvl>
  </w:abstractNum>
  <w:abstractNum w:abstractNumId="4">
    <w:lvl w:ilvl="0">
      <w:numFmt w:val="bullet"/>
      <w:lvlText w:val="-"/>
      <w:lvlJc w:val="start"/>
      <w:pPr>
        <w:tabs>
          <w:tab w:val="num" w:pos="720"/>
        </w:tabs>
        <w:ind w:start="720" w:hanging="720"/>
      </w:pPr>
      <w:rPr>
        <w:rFonts w:ascii="Times New Roman" w:hAnsi="Times New Roman" w:cs="Times New Roman" w:hint="default"/>
        <w:color w:val="000000"/>
      </w:rPr>
    </w:lvl>
  </w:abstractNum>
  <w:abstractNum w:abstractNumId="5">
    <w:lvl w:ilvl="0">
      <w:numFmt w:val="bullet"/>
      <w:lvlText w:val="-"/>
      <w:lvlJc w:val="start"/>
      <w:pPr>
        <w:tabs>
          <w:tab w:val="num" w:pos="720"/>
        </w:tabs>
        <w:ind w:start="720" w:hanging="720"/>
      </w:pPr>
      <w:rPr>
        <w:rFonts w:ascii="Times New Roman" w:hAnsi="Times New Roman" w:cs="Times New Roman" w:hint="default"/>
        <w:color w:val="000000"/>
      </w:rPr>
    </w:lvl>
  </w:abstractNum>
  <w:abstractNum w:abstractNumId="6">
    <w:lvl w:ilvl="0">
      <w:numFmt w:val="bullet"/>
      <w:lvlText w:val="-"/>
      <w:lvlJc w:val="start"/>
      <w:pPr>
        <w:tabs>
          <w:tab w:val="num" w:pos="720"/>
        </w:tabs>
        <w:ind w:start="720" w:hanging="720"/>
      </w:pPr>
      <w:rPr>
        <w:rFonts w:ascii="Times New Roman" w:hAnsi="Times New Roman" w:cs="Times New Roman"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etica" w:hAnsi="Helvetica" w:cs="Helvetica"/>
      <w:b/>
      <w:color w:val="0000FF"/>
      <w:lang w:eastAsia="en-US"/>
    </w:rPr>
  </w:style>
  <w:style w:type="character" w:styleId="WW8Num2z0">
    <w:name w:val="WW8Num2z0"/>
    <w:qFormat/>
    <w:rPr>
      <w:rFonts w:ascii="Times New Roman" w:hAnsi="Times New Roman" w:cs="Times New Roman"/>
      <w:color w:val="000000"/>
    </w:rPr>
  </w:style>
  <w:style w:type="character" w:styleId="WW8Num3z0">
    <w:name w:val="WW8Num3z0"/>
    <w:qFormat/>
    <w:rPr>
      <w:rFonts w:ascii="Times New Roman" w:hAnsi="Times New Roman" w:cs="Times New Roman"/>
      <w:color w:val="000000"/>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color w:val="000000"/>
    </w:rPr>
  </w:style>
  <w:style w:type="character" w:styleId="WW8Num6z0">
    <w:name w:val="WW8Num6z0"/>
    <w:qFormat/>
    <w:rPr>
      <w:rFonts w:ascii="Times New Roman" w:hAnsi="Times New Roman" w:cs="Times New Roman"/>
      <w:color w:val="000000"/>
    </w:rPr>
  </w:style>
  <w:style w:type="character" w:styleId="WW8Num7z0">
    <w:name w:val="WW8Num7z0"/>
    <w:qFormat/>
    <w:rPr/>
  </w:style>
  <w:style w:type="character" w:styleId="WW8Num8z0">
    <w:name w:val="WW8Num8z0"/>
    <w:qFormat/>
    <w:rPr>
      <w:rFonts w:ascii="Times New Roman" w:hAnsi="Times New Roman" w:cs="Times New Roman"/>
      <w:color w:val="000000"/>
    </w:rPr>
  </w:style>
  <w:style w:type="character" w:styleId="WW8NumSt3z0">
    <w:name w:val="WW8NumSt3z0"/>
    <w:qFormat/>
    <w:rPr>
      <w:rFonts w:ascii="Wingdings" w:hAnsi="Wingdings" w:cs="Wingdings"/>
      <w:sz w:val="48"/>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b/>
      <w:i/>
      <w:color w:val="000000"/>
      <w:sz w:val="32"/>
      <w:lang w:eastAsia="en-US"/>
    </w:rPr>
  </w:style>
  <w:style w:type="paragraph" w:styleId="BodyText">
    <w:name w:val="Body Text"/>
    <w:basedOn w:val="Normal"/>
    <w:pPr>
      <w:spacing w:lineRule="atLeast" w:line="240"/>
    </w:pPr>
    <w:rPr>
      <w:rFonts w:ascii="Helvetica" w:hAnsi="Helvetica" w:cs="Helvetica"/>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Helvetica" w:hAnsi="Helvetica" w:cs="Helvetica"/>
      <w:color w:val="FF0000"/>
      <w:lang w:eastAsia="en-US"/>
    </w:rPr>
  </w:style>
  <w:style w:type="paragraph" w:styleId="FootnoteText">
    <w:name w:val="footnote text"/>
    <w:basedOn w:val="Normal"/>
    <w:pPr/>
    <w:rPr/>
  </w:style>
  <w:style w:type="paragraph" w:styleId="BodyText3">
    <w:name w:val="Body Text 3"/>
    <w:basedOn w:val="Normal"/>
    <w:qFormat/>
    <w:pPr>
      <w:spacing w:lineRule="atLeast" w:line="240"/>
    </w:pPr>
    <w:rPr>
      <w:rFonts w:ascii="Helvetica" w:hAnsi="Helvetica" w:cs="Helvetica"/>
      <w:b/>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2">
    <w:name w:val="H2"/>
    <w:basedOn w:val="Normal"/>
    <w:next w:val="Normal"/>
    <w:qFormat/>
    <w:pPr>
      <w:keepNext w:val="true"/>
      <w:spacing w:before="100" w:after="100"/>
      <w:outlineLvl w:val="2"/>
    </w:pPr>
    <w:rPr>
      <w:rFonts w:ascii="Times New Roman" w:hAnsi="Times New Roman" w:cs="Times New Roman"/>
      <w:b/>
      <w:sz w:val="36"/>
      <w:lang w:eastAsia="en-US"/>
    </w:rPr>
  </w:style>
  <w:style w:type="paragraph" w:styleId="H3">
    <w:name w:val="H3"/>
    <w:basedOn w:val="Normal"/>
    <w:next w:val="Normal"/>
    <w:qFormat/>
    <w:pPr>
      <w:keepNext w:val="true"/>
      <w:spacing w:before="100" w:after="100"/>
      <w:outlineLvl w:val="3"/>
    </w:pPr>
    <w:rPr>
      <w:rFonts w:ascii="Times New Roman" w:hAnsi="Times New Roman" w:cs="Times New Roman"/>
      <w:b/>
      <w:sz w:val="28"/>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2000-11-12T01:31:00Z</dcterms:created>
  <dc:creator>Frank Wanderski</dc:creator>
  <dc:description/>
  <dc:language>en-CA</dc:language>
  <cp:lastModifiedBy>Frank Wanderski</cp:lastModifiedBy>
  <cp:lastPrinted>2000-10-20T16:34:00Z</cp:lastPrinted>
  <dcterms:modified xsi:type="dcterms:W3CDTF">2000-11-12T03:52:00Z</dcterms:modified>
  <cp:revision>23</cp:revision>
  <dc:subject/>
  <dc:title>EES BUSINESS INTELLIGENCE SUPPORT</dc:title>
</cp:coreProperties>
</file>