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C0C0C" w:val="clear"/>
        <w:ind w:start="0" w:end="-180"/>
        <w:rPr>
          <w:rFonts w:ascii="Arial" w:hAnsi="Arial" w:cs="Arial"/>
          <w:sz w:val="16"/>
        </w:rPr>
      </w:pPr>
      <w:r>
        <w:rPr>
          <w:rFonts w:cs="Arial" w:ascii="Arial" w:hAnsi="Arial"/>
          <w:sz w:val="16"/>
        </w:rPr>
      </w:r>
    </w:p>
    <w:p>
      <w:pPr>
        <w:pStyle w:val="Heading"/>
        <w:shd w:fill="0C0C0C" w:val="clear"/>
        <w:ind w:start="0" w:end="-180"/>
        <w:rPr>
          <w:rFonts w:ascii="Arial Black" w:hAnsi="Arial Black" w:cs="Arial Black"/>
          <w:b w:val="false"/>
          <w:bCs w:val="false"/>
          <w:sz w:val="32"/>
        </w:rPr>
      </w:pPr>
      <w:r>
        <w:rPr>
          <w:rFonts w:cs="Arial" w:ascii="Arial Black" w:hAnsi="Arial Black"/>
          <w:b w:val="false"/>
          <w:bCs w:val="false"/>
          <w:sz w:val="32"/>
        </w:rPr>
        <w:t>The California Electricity Crisis: Failed Regulation</w:t>
      </w:r>
    </w:p>
    <w:p>
      <w:pPr>
        <w:pStyle w:val="Heading"/>
        <w:shd w:fill="0C0C0C" w:val="clear"/>
        <w:ind w:start="0" w:end="-180"/>
        <w:rPr>
          <w:rFonts w:ascii="Arial Black" w:hAnsi="Arial Black" w:cs="Arial Black"/>
          <w:b w:val="false"/>
          <w:bCs w:val="false"/>
          <w:sz w:val="16"/>
        </w:rPr>
      </w:pPr>
      <w:r>
        <w:rPr>
          <w:rFonts w:cs="Arial Black" w:ascii="Arial Black" w:hAnsi="Arial Black"/>
          <w:b w:val="false"/>
          <w:bCs w:val="false"/>
          <w:sz w:val="16"/>
        </w:rPr>
      </w:r>
    </w:p>
    <w:p>
      <w:pPr>
        <w:pStyle w:val="Heading1"/>
        <w:ind w:hanging="0" w:start="0" w:end="-180"/>
        <w:rPr>
          <w:sz w:val="16"/>
        </w:rPr>
      </w:pPr>
      <w:r>
        <w:rPr>
          <w:sz w:val="16"/>
        </w:rPr>
      </w:r>
    </w:p>
    <w:p>
      <w:pPr>
        <w:pStyle w:val="Normal"/>
        <w:ind w:firstLine="720" w:end="-180"/>
        <w:rPr/>
      </w:pPr>
      <w:r>
        <w:rPr>
          <w:b/>
          <w:bCs/>
          <w:sz w:val="22"/>
        </w:rPr>
        <w:t>The recent California energy crisis proves that an industrial age infrastructure cannot support the demand for energy of an information age economy.</w:t>
      </w:r>
      <w:r>
        <w:rPr>
          <w:sz w:val="22"/>
        </w:rPr>
        <w:t xml:space="preserve">  Energy is the oxygen of the new economy and our nation’s continued economic prosperity will be dependent on an adequate supply.  The proliferation of computers, servers, fax machines and networks has significantly increased the demand for new power.  Unfortunately, the supply of power and the infrastructure have not kept up with increasing demand.</w:t>
      </w:r>
    </w:p>
    <w:p>
      <w:pPr>
        <w:pStyle w:val="Normal"/>
        <w:ind w:firstLine="720" w:end="-180"/>
        <w:rPr>
          <w:sz w:val="22"/>
        </w:rPr>
      </w:pPr>
      <w:r>
        <w:rPr>
          <w:sz w:val="22"/>
        </w:rPr>
      </w:r>
    </w:p>
    <w:p>
      <w:pPr>
        <w:pStyle w:val="BodyTextIndent"/>
        <w:ind w:end="-180"/>
        <w:rPr/>
      </w:pPr>
      <w:r>
        <w:rPr/>
        <w:t>The failed reregulation in California threatens the continued growth of the New Economy because of the instability resulting from rolling blackouts, potential utility bankruptcies and likely rate increases.</w:t>
      </w:r>
    </w:p>
    <w:p>
      <w:pPr>
        <w:pStyle w:val="Normal"/>
        <w:ind w:end="-180"/>
        <w:rPr/>
      </w:pPr>
      <w:r>
        <w:rPr/>
      </w:r>
    </w:p>
    <w:p>
      <w:pPr>
        <w:pStyle w:val="BlockText"/>
        <w:shd w:fill="0C0C0C" w:val="clear"/>
        <w:ind w:start="0" w:end="-180"/>
        <w:rPr>
          <w:rFonts w:ascii="Arial Black" w:hAnsi="Arial Black" w:cs="Arial Black"/>
          <w:b w:val="false"/>
          <w:bCs w:val="false"/>
        </w:rPr>
      </w:pPr>
      <w:r>
        <w:rPr>
          <w:rFonts w:cs="Arial Black" w:ascii="Arial Black" w:hAnsi="Arial Black"/>
          <w:b w:val="false"/>
          <w:bCs w:val="false"/>
        </w:rPr>
        <w:t xml:space="preserve">The California Experiment:  A Prescription for Failure </w:t>
      </w:r>
    </w:p>
    <w:p>
      <w:pPr>
        <w:pStyle w:val="Normal"/>
        <w:ind w:end="-180"/>
        <w:jc w:val="center"/>
        <w:rPr>
          <w:rFonts w:ascii="Arial Black" w:hAnsi="Arial Black" w:cs="Arial Black"/>
          <w:b/>
          <w:bCs/>
          <w:sz w:val="20"/>
        </w:rPr>
      </w:pPr>
      <w:r>
        <w:rPr>
          <w:rFonts w:cs="Arial Black" w:ascii="Arial Black" w:hAnsi="Arial Black"/>
          <w:b/>
          <w:bCs/>
          <w:sz w:val="20"/>
        </w:rPr>
      </w:r>
    </w:p>
    <w:p>
      <w:pPr>
        <w:pStyle w:val="Normal"/>
        <w:numPr>
          <w:ilvl w:val="0"/>
          <w:numId w:val="3"/>
        </w:numPr>
        <w:tabs>
          <w:tab w:val="clear" w:pos="720"/>
        </w:tabs>
        <w:spacing w:before="0" w:after="80"/>
        <w:ind w:hanging="360" w:start="360" w:end="-180"/>
        <w:rPr>
          <w:sz w:val="22"/>
        </w:rPr>
      </w:pPr>
      <w:r>
        <w:rPr>
          <w:b/>
          <w:bCs/>
          <w:sz w:val="22"/>
        </w:rPr>
        <w:t>The California “Deregulation” experiment was based on flawed assumptions.</w:t>
      </w:r>
      <w:r>
        <w:rPr>
          <w:sz w:val="22"/>
        </w:rPr>
        <w:t xml:space="preserve">  The regulation scheme replaced one monopoly, a regulated utility, with another - a state designed spot market and a flawed regulated retail market.</w:t>
      </w:r>
    </w:p>
    <w:p>
      <w:pPr>
        <w:pStyle w:val="Normal"/>
        <w:numPr>
          <w:ilvl w:val="0"/>
          <w:numId w:val="3"/>
        </w:numPr>
        <w:tabs>
          <w:tab w:val="clear" w:pos="720"/>
        </w:tabs>
        <w:spacing w:before="0" w:after="80"/>
        <w:ind w:hanging="360" w:start="360" w:end="-180"/>
        <w:rPr>
          <w:sz w:val="22"/>
        </w:rPr>
      </w:pPr>
      <w:r>
        <w:rPr>
          <w:b/>
          <w:bCs/>
          <w:sz w:val="22"/>
        </w:rPr>
        <w:t>Inadequate supply hinders competition.</w:t>
      </w:r>
      <w:r>
        <w:rPr>
          <w:sz w:val="22"/>
        </w:rPr>
        <w:t xml:space="preserve">  California’s reregulation is fundamentally flawed because the State has done nothing to address the critical shortage of available electricity.  As a result, demand has significantly outpaced supply – resulting in increased prices for scarce surplus power.</w:t>
      </w:r>
    </w:p>
    <w:p>
      <w:pPr>
        <w:pStyle w:val="Normal"/>
        <w:numPr>
          <w:ilvl w:val="0"/>
          <w:numId w:val="3"/>
        </w:numPr>
        <w:tabs>
          <w:tab w:val="clear" w:pos="720"/>
        </w:tabs>
        <w:spacing w:before="0" w:after="80"/>
        <w:ind w:hanging="360" w:start="360" w:end="-180"/>
        <w:rPr>
          <w:sz w:val="22"/>
        </w:rPr>
      </w:pPr>
      <w:r>
        <w:rPr>
          <w:b/>
          <w:bCs/>
          <w:sz w:val="22"/>
        </w:rPr>
        <w:t>Cumbersome and restrictive rules for the construction of new plants prevent supply from keeping up with demand.</w:t>
      </w:r>
      <w:r>
        <w:rPr>
          <w:sz w:val="22"/>
        </w:rPr>
        <w:t xml:space="preserve">  Despite the increased demand, strict permitting laws for plant siting and impossibly restrictive environmental requirements have stymied the construction of new generation facilities.</w:t>
      </w:r>
    </w:p>
    <w:p>
      <w:pPr>
        <w:pStyle w:val="Normal"/>
        <w:numPr>
          <w:ilvl w:val="0"/>
          <w:numId w:val="3"/>
        </w:numPr>
        <w:tabs>
          <w:tab w:val="clear" w:pos="720"/>
        </w:tabs>
        <w:spacing w:before="0" w:after="80"/>
        <w:ind w:hanging="360" w:start="360" w:end="-180"/>
        <w:rPr>
          <w:sz w:val="22"/>
        </w:rPr>
      </w:pPr>
      <w:r>
        <w:rPr>
          <w:b/>
          <w:bCs/>
          <w:sz w:val="22"/>
        </w:rPr>
        <w:t>The mandated spot market increased risk and volatility.</w:t>
      </w:r>
      <w:r>
        <w:rPr>
          <w:sz w:val="22"/>
        </w:rPr>
        <w:t xml:space="preserve"> California’s reregulation plan forced distributors to buy power in a state mandated spot market on a Day-Ahead or Hour-Ahead basis, creating great instability and subjecting distributors to tremendous volatility.</w:t>
      </w:r>
    </w:p>
    <w:p>
      <w:pPr>
        <w:pStyle w:val="Normal"/>
        <w:numPr>
          <w:ilvl w:val="0"/>
          <w:numId w:val="3"/>
        </w:numPr>
        <w:tabs>
          <w:tab w:val="clear" w:pos="720"/>
        </w:tabs>
        <w:spacing w:before="0" w:after="80"/>
        <w:ind w:hanging="360" w:start="360" w:end="-180"/>
        <w:rPr>
          <w:sz w:val="22"/>
        </w:rPr>
      </w:pPr>
      <w:r>
        <w:rPr>
          <w:b/>
          <w:bCs/>
          <w:sz w:val="22"/>
        </w:rPr>
        <w:t>Restrictions on long-term contracts prevented utilities from locking in savings.</w:t>
      </w:r>
      <w:r>
        <w:rPr>
          <w:sz w:val="22"/>
        </w:rPr>
        <w:t xml:space="preserve">  The California Public Utility Commission discouraged distributors from locking in savings by entering long-term contracts at prices substantially lower than those prevailing in the mandated spot market.  Only now, with the utilities facing bankruptcy, does California want to encourage exactly these types of contracts to promote longer-term stability.</w:t>
      </w:r>
    </w:p>
    <w:p>
      <w:pPr>
        <w:pStyle w:val="Normal"/>
        <w:numPr>
          <w:ilvl w:val="0"/>
          <w:numId w:val="3"/>
        </w:numPr>
        <w:tabs>
          <w:tab w:val="clear" w:pos="720"/>
        </w:tabs>
        <w:spacing w:before="0" w:after="80"/>
        <w:ind w:hanging="360" w:start="360" w:end="-180"/>
        <w:rPr>
          <w:sz w:val="22"/>
        </w:rPr>
      </w:pPr>
      <w:r>
        <w:rPr>
          <w:b/>
          <w:bCs/>
          <w:sz w:val="22"/>
        </w:rPr>
        <w:t>Price caps have failed.</w:t>
      </w:r>
      <w:r>
        <w:rPr>
          <w:sz w:val="22"/>
        </w:rPr>
        <w:t xml:space="preserve">  Price caps on wholesale prices discourage investment in the modernization of much needed infrastructure such as new generation and transmission facilities.  Investors may not be able to recoup their investments due to artificial price caps and will direct their capital and available energy supplies into uncapped free markets.</w:t>
      </w:r>
    </w:p>
    <w:p>
      <w:pPr>
        <w:pStyle w:val="Normal"/>
        <w:numPr>
          <w:ilvl w:val="0"/>
          <w:numId w:val="3"/>
        </w:numPr>
        <w:tabs>
          <w:tab w:val="clear" w:pos="720"/>
        </w:tabs>
        <w:spacing w:before="0" w:after="80"/>
        <w:ind w:hanging="360" w:start="360" w:end="-180"/>
        <w:rPr/>
      </w:pPr>
      <w:r>
        <w:rPr>
          <w:b/>
          <w:bCs/>
          <w:sz w:val="22"/>
        </w:rPr>
        <w:t>Disconnecting wholesale and retail rates prevents proper market signaling.</w:t>
      </w:r>
      <w:r>
        <w:rPr>
          <w:sz w:val="22"/>
        </w:rPr>
        <w:t xml:space="preserve">  The disconnection of wholesale and retail rates violates the fundamental law of supply and demand.  Retail customers who do not bear any of the costs of increased wholesale prices have no incentive for conservation as wholesale rates increase.</w:t>
      </w:r>
    </w:p>
    <w:p>
      <w:pPr>
        <w:pStyle w:val="Heading1"/>
        <w:ind w:hanging="0" w:start="360" w:end="-180"/>
        <w:rPr>
          <w:sz w:val="16"/>
        </w:rPr>
      </w:pPr>
      <w:r>
        <w:rPr>
          <w:sz w:val="16"/>
        </w:rPr>
      </w:r>
    </w:p>
    <w:p>
      <w:pPr>
        <w:pStyle w:val="Heading1"/>
        <w:shd w:fill="0C0C0C" w:val="clear"/>
        <w:ind w:hanging="0" w:start="0" w:end="-180"/>
        <w:jc w:val="center"/>
        <w:rPr/>
      </w:pPr>
      <w:r>
        <w:rPr>
          <w:rFonts w:cs="Arial Black" w:ascii="Arial Black" w:hAnsi="Arial Black"/>
          <w:b w:val="false"/>
          <w:bCs w:val="false"/>
          <w:i/>
          <w:iCs/>
        </w:rPr>
        <w:t>Real</w:t>
      </w:r>
      <w:r>
        <w:rPr>
          <w:rFonts w:cs="Arial Black" w:ascii="Arial Black" w:hAnsi="Arial Black"/>
          <w:b w:val="false"/>
          <w:bCs w:val="false"/>
        </w:rPr>
        <w:t xml:space="preserve"> Deregulation: A Prescription for Success</w:t>
      </w:r>
    </w:p>
    <w:p>
      <w:pPr>
        <w:pStyle w:val="Normal"/>
        <w:ind w:end="-180"/>
        <w:rPr>
          <w:rFonts w:ascii="Arial Black" w:hAnsi="Arial Black" w:cs="Arial Black"/>
          <w:b/>
          <w:bCs/>
          <w:sz w:val="16"/>
        </w:rPr>
      </w:pPr>
      <w:r>
        <w:rPr>
          <w:rFonts w:cs="Arial Black" w:ascii="Arial Black" w:hAnsi="Arial Black"/>
          <w:b/>
          <w:bCs/>
          <w:sz w:val="16"/>
        </w:rPr>
      </w:r>
    </w:p>
    <w:p>
      <w:pPr>
        <w:pStyle w:val="Normal"/>
        <w:numPr>
          <w:ilvl w:val="0"/>
          <w:numId w:val="2"/>
        </w:numPr>
        <w:tabs>
          <w:tab w:val="clear" w:pos="720"/>
        </w:tabs>
        <w:spacing w:before="80" w:after="0"/>
        <w:ind w:hanging="360" w:start="360" w:end="-180"/>
        <w:rPr>
          <w:sz w:val="22"/>
        </w:rPr>
      </w:pPr>
      <w:r>
        <w:rPr>
          <w:b/>
          <w:bCs/>
          <w:sz w:val="22"/>
        </w:rPr>
        <w:t>Real deregulation has worked in other states.</w:t>
      </w:r>
      <w:r>
        <w:rPr>
          <w:sz w:val="22"/>
        </w:rPr>
        <w:t xml:space="preserve">  A number of states, including Pennsylvania, Wisconsin and Texas, have shown that electricity deregulation can be done properly to promote competition and reduce consumer prices.</w:t>
      </w:r>
    </w:p>
    <w:p>
      <w:pPr>
        <w:pStyle w:val="Normal"/>
        <w:numPr>
          <w:ilvl w:val="0"/>
          <w:numId w:val="2"/>
        </w:numPr>
        <w:tabs>
          <w:tab w:val="clear" w:pos="720"/>
        </w:tabs>
        <w:spacing w:before="80" w:after="0"/>
        <w:ind w:hanging="360" w:start="360" w:end="-180"/>
        <w:rPr>
          <w:sz w:val="22"/>
        </w:rPr>
      </w:pPr>
      <w:r>
        <w:rPr>
          <w:b/>
          <w:bCs/>
          <w:sz w:val="22"/>
        </w:rPr>
        <w:t>Adequate Supply is Necessary for Competition and Price Stability.</w:t>
      </w:r>
      <w:r>
        <w:rPr>
          <w:sz w:val="22"/>
        </w:rPr>
        <w:t xml:space="preserve">  Every state in which deregulation has been successful started with a recognition that there must be adequate supply to successfully deregulate.  They focused on increasing supply before deregulation, in order to provide a robust market for competition.</w:t>
      </w:r>
    </w:p>
    <w:p>
      <w:pPr>
        <w:pStyle w:val="Normal"/>
        <w:numPr>
          <w:ilvl w:val="0"/>
          <w:numId w:val="2"/>
        </w:numPr>
        <w:tabs>
          <w:tab w:val="clear" w:pos="720"/>
        </w:tabs>
        <w:spacing w:before="80" w:after="0"/>
        <w:ind w:hanging="360" w:start="360" w:end="-180"/>
        <w:rPr>
          <w:sz w:val="22"/>
        </w:rPr>
      </w:pPr>
      <w:r>
        <w:rPr>
          <w:b/>
          <w:bCs/>
          <w:sz w:val="22"/>
        </w:rPr>
        <w:t>The ability to enter long-term contracts is essential for deregulation to be successful</w:t>
      </w:r>
      <w:r>
        <w:rPr>
          <w:sz w:val="22"/>
        </w:rPr>
        <w:t>. Long-term contracts allow distributors to lock in savings and protect against market volatility.</w:t>
      </w:r>
    </w:p>
    <w:p>
      <w:pPr>
        <w:pStyle w:val="Normal"/>
        <w:numPr>
          <w:ilvl w:val="0"/>
          <w:numId w:val="2"/>
        </w:numPr>
        <w:tabs>
          <w:tab w:val="clear" w:pos="720"/>
        </w:tabs>
        <w:spacing w:before="80" w:after="0"/>
        <w:ind w:hanging="360" w:start="360" w:end="-180"/>
        <w:rPr>
          <w:sz w:val="22"/>
        </w:rPr>
      </w:pPr>
      <w:r>
        <w:rPr>
          <w:b/>
          <w:bCs/>
          <w:sz w:val="22"/>
        </w:rPr>
        <w:t>Deregulation must include investment in the transmission grid to improve reliability.</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720"/>
    </w:pPr>
    <w:rPr>
      <w:b/>
      <w:bCs/>
      <w:sz w:val="22"/>
      <w:u w:val="single"/>
    </w:rPr>
  </w:style>
  <w:style w:type="paragraph" w:styleId="BlockText">
    <w:name w:val="Block Text"/>
    <w:basedOn w:val="Normal"/>
    <w:qFormat/>
    <w:pPr>
      <w:ind w:hanging="0" w:start="-180" w:end="-720"/>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2001-01-25T23:23:00Z</dcterms:created>
  <dc:creator>Quinn Gillespie &amp; Associates LLC</dc:creator>
  <dc:description/>
  <dc:language>en-CA</dc:language>
  <cp:lastModifiedBy>Quinn Gillespie &amp;  Associates LLC</cp:lastModifiedBy>
  <cp:lastPrinted>2001-01-29T20:58:00Z</cp:lastPrinted>
  <dcterms:modified xsi:type="dcterms:W3CDTF">2001-01-29T23:35:00Z</dcterms:modified>
  <cp:revision>14</cp:revision>
  <dc:subject/>
  <dc:title>DEREGULATION OR REREGULATION</dc:title>
</cp:coreProperties>
</file>