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hd w:fill="000000" w:val="clear"/>
        <w:ind w:start="0" w:end="-180"/>
        <w:rPr>
          <w:rFonts w:ascii="Arial" w:hAnsi="Arial" w:cs="Arial"/>
          <w:sz w:val="8"/>
        </w:rPr>
      </w:pPr>
      <w:r>
        <w:rPr>
          <w:rFonts w:cs="Arial" w:ascii="Arial" w:hAnsi="Arial"/>
          <w:sz w:val="8"/>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 xml:space="preserve">The California Energy Crisis: </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t>A Failure of Regulation to Create Markets</w:t>
      </w:r>
    </w:p>
    <w:p>
      <w:pPr>
        <w:pStyle w:val="Heading"/>
        <w:shd w:fill="000000" w:val="clear"/>
        <w:ind w:start="0" w:end="-180"/>
        <w:rPr>
          <w:rFonts w:ascii="Arial Black" w:hAnsi="Arial Black" w:cs="Arial Black"/>
          <w:b w:val="false"/>
          <w:sz w:val="8"/>
        </w:rPr>
      </w:pPr>
      <w:r>
        <w:rPr>
          <w:rFonts w:cs="Arial Black" w:ascii="Arial Black" w:hAnsi="Arial Black"/>
          <w:b w:val="false"/>
          <w:sz w:val="8"/>
        </w:rPr>
      </w:r>
    </w:p>
    <w:p>
      <w:pPr>
        <w:pStyle w:val="Heading1"/>
        <w:ind w:hanging="0" w:start="0" w:end="-180"/>
        <w:rPr>
          <w:sz w:val="8"/>
        </w:rPr>
      </w:pPr>
      <w:r>
        <w:rPr>
          <w:sz w:val="8"/>
        </w:rPr>
      </w:r>
    </w:p>
    <w:p>
      <w:pPr>
        <w:pStyle w:val="BodyTextIndent2"/>
        <w:rPr/>
      </w:pPr>
      <w:r>
        <w:rPr/>
        <w:t xml:space="preserve">The California energy crisis proves that an information age economy needs more than an industrial age infrastructure.  Energy is the oxygen of the new economy and our nation’s continued economic prosperity will be dependent on an adequate supply of electricity provided efficiently by competitive markets.  </w:t>
      </w:r>
    </w:p>
    <w:p>
      <w:pPr>
        <w:pStyle w:val="BodyTextIndent"/>
        <w:ind w:end="-180"/>
        <w:rPr>
          <w:u w:val="none"/>
        </w:rPr>
      </w:pPr>
      <w:r>
        <w:rPr>
          <w:u w:val="none"/>
        </w:rPr>
      </w:r>
    </w:p>
    <w:p>
      <w:pPr>
        <w:pStyle w:val="BodyTextIndent"/>
        <w:ind w:end="-180"/>
        <w:rPr>
          <w:u w:val="none"/>
        </w:rPr>
      </w:pPr>
      <w:r>
        <w:rPr>
          <w:u w:val="none"/>
        </w:rPr>
        <w:t>California’s crippled electricity market now threatens the continued growth of the new economy because of the instability resulting from rolling blackouts, potential utility bankruptcies and the lack of new generation.  The regulatory structure in California failed to create a truly competitive electricity market.</w:t>
      </w:r>
    </w:p>
    <w:p>
      <w:pPr>
        <w:pStyle w:val="BodyTextIndent"/>
        <w:ind w:end="-180"/>
        <w:rPr>
          <w:u w:val="none"/>
        </w:rPr>
      </w:pPr>
      <w:r>
        <w:rPr>
          <w:u w:val="none"/>
        </w:rPr>
      </w:r>
    </w:p>
    <w:p>
      <w:pPr>
        <w:pStyle w:val="BodyTextIndent"/>
        <w:ind w:hanging="0" w:end="-180"/>
        <w:jc w:val="center"/>
        <w:rPr>
          <w:rFonts w:ascii="Arial Black" w:hAnsi="Arial Black" w:cs="Arial Black"/>
          <w:b w:val="false"/>
        </w:rPr>
      </w:pPr>
      <w:r>
        <w:rPr>
          <w:rFonts w:cs="Arial Black" w:ascii="Arial Black" w:hAnsi="Arial Black"/>
          <w:b w:val="false"/>
        </w:rPr>
        <w:t>The California Model:  A Prescription for Failure</w:t>
      </w:r>
    </w:p>
    <w:p>
      <w:pPr>
        <w:pStyle w:val="Normal"/>
        <w:ind w:end="-180"/>
        <w:jc w:val="center"/>
        <w:rPr>
          <w:rFonts w:ascii="Arial Black" w:hAnsi="Arial Black" w:cs="Arial Black"/>
          <w:b/>
          <w:sz w:val="20"/>
        </w:rPr>
      </w:pPr>
      <w:r>
        <w:rPr>
          <w:rFonts w:cs="Arial Black" w:ascii="Arial Black" w:hAnsi="Arial Black"/>
          <w:b/>
          <w:sz w:val="20"/>
        </w:rPr>
      </w:r>
    </w:p>
    <w:p>
      <w:pPr>
        <w:pStyle w:val="Normal"/>
        <w:numPr>
          <w:ilvl w:val="0"/>
          <w:numId w:val="3"/>
        </w:numPr>
        <w:tabs>
          <w:tab w:val="clear" w:pos="720"/>
        </w:tabs>
        <w:spacing w:before="0" w:after="60"/>
        <w:ind w:hanging="360" w:start="360" w:end="-187"/>
        <w:rPr>
          <w:sz w:val="22"/>
        </w:rPr>
      </w:pPr>
      <w:r>
        <w:rPr>
          <w:b/>
          <w:sz w:val="22"/>
        </w:rPr>
        <w:t>California’s failed regulation denied consumers the freedom to choose.</w:t>
      </w:r>
      <w:r>
        <w:rPr>
          <w:sz w:val="22"/>
        </w:rPr>
        <w:t xml:space="preserve">  The regulation scheme simply replaced one regulated utility with another monopoly - a state mandated spot market.  Choice was a mere illusion.</w:t>
      </w:r>
    </w:p>
    <w:p>
      <w:pPr>
        <w:pStyle w:val="Normal"/>
        <w:numPr>
          <w:ilvl w:val="0"/>
          <w:numId w:val="3"/>
        </w:numPr>
        <w:tabs>
          <w:tab w:val="clear" w:pos="720"/>
        </w:tabs>
        <w:spacing w:before="0" w:after="60"/>
        <w:ind w:hanging="360" w:start="360" w:end="-187"/>
        <w:rPr>
          <w:sz w:val="22"/>
        </w:rPr>
      </w:pPr>
      <w:r>
        <w:rPr>
          <w:b/>
          <w:sz w:val="22"/>
        </w:rPr>
        <w:t xml:space="preserve">Increasing energy demand outpaced new supplies of generation.  </w:t>
      </w:r>
      <w:r>
        <w:rPr>
          <w:sz w:val="22"/>
        </w:rPr>
        <w:t>Overly burdensome permitting laws for plant siting and complicated environmental requirements have stymied the construction of new generation facilities.  Furthermore, investors in new generation were discouraged from entering California’s market due to price caps.  As a result, electricity prices skyrocketed.</w:t>
      </w:r>
    </w:p>
    <w:p>
      <w:pPr>
        <w:pStyle w:val="Normal"/>
        <w:numPr>
          <w:ilvl w:val="0"/>
          <w:numId w:val="3"/>
        </w:numPr>
        <w:tabs>
          <w:tab w:val="clear" w:pos="720"/>
        </w:tabs>
        <w:spacing w:before="0" w:after="60"/>
        <w:ind w:hanging="360" w:start="360" w:end="-187"/>
        <w:rPr>
          <w:sz w:val="22"/>
        </w:rPr>
      </w:pPr>
      <w:r>
        <w:rPr>
          <w:b/>
          <w:sz w:val="22"/>
        </w:rPr>
        <w:t xml:space="preserve">The state forced almost total reliance on a volatile state-created spot market, which meant utilities were buying the highest priced electricity every day.  </w:t>
      </w:r>
      <w:r>
        <w:rPr>
          <w:sz w:val="22"/>
        </w:rPr>
        <w:t>The California Public Utility Commission discouraged utilities from locking in savings by entering long-term contracts at prices substantially lower than those prevailing in the mandated spot market.  Only now, with the utilities facing bankruptcy, does California want to encourage exactly these types of contracts to promote longer-term stability.</w:t>
      </w:r>
    </w:p>
    <w:p>
      <w:pPr>
        <w:pStyle w:val="Normal"/>
        <w:numPr>
          <w:ilvl w:val="0"/>
          <w:numId w:val="3"/>
        </w:numPr>
        <w:tabs>
          <w:tab w:val="clear" w:pos="720"/>
        </w:tabs>
        <w:spacing w:before="0" w:after="60"/>
        <w:ind w:hanging="360" w:start="360" w:end="-187"/>
        <w:rPr/>
      </w:pPr>
      <w:r>
        <w:rPr>
          <w:b/>
          <w:sz w:val="22"/>
        </w:rPr>
        <w:t xml:space="preserve">Price caps are bad for consumers, the economy and the environment because they mask important market signals.  </w:t>
      </w:r>
      <w:r>
        <w:rPr>
          <w:sz w:val="22"/>
        </w:rPr>
        <w:t>Price caps export California’s problems to neighboring states, discourage investors from entering the state to develop needed supply resources, disrupt the market and force a last minute scramble for power which endangers reliability.  Moreover, retail customers who see artificially capped prices in California have no incentive for conservation as wholesale rates increase.</w:t>
      </w:r>
    </w:p>
    <w:p>
      <w:pPr>
        <w:pStyle w:val="Heading1"/>
        <w:ind w:hanging="0" w:start="360" w:end="-180"/>
        <w:rPr>
          <w:sz w:val="16"/>
        </w:rPr>
      </w:pPr>
      <w:r>
        <w:rPr>
          <w:sz w:val="16"/>
        </w:rPr>
      </w:r>
    </w:p>
    <w:p>
      <w:pPr>
        <w:pStyle w:val="Heading1"/>
        <w:shd w:fill="000000" w:val="clear"/>
        <w:ind w:hanging="0" w:start="0" w:end="-180"/>
        <w:jc w:val="center"/>
        <w:rPr>
          <w:rFonts w:ascii="Arial Black" w:hAnsi="Arial Black" w:cs="Arial Black"/>
          <w:b w:val="false"/>
        </w:rPr>
      </w:pPr>
      <w:r>
        <w:rPr>
          <w:rFonts w:cs="Arial Black" w:ascii="Arial Black" w:hAnsi="Arial Black"/>
          <w:b w:val="false"/>
        </w:rPr>
        <w:t>Competitive Markets: A Prescription for Success</w:t>
      </w:r>
    </w:p>
    <w:p>
      <w:pPr>
        <w:pStyle w:val="Normal"/>
        <w:ind w:end="-180"/>
        <w:rPr>
          <w:rFonts w:ascii="Arial Black" w:hAnsi="Arial Black" w:cs="Arial Black"/>
          <w:b/>
          <w:sz w:val="16"/>
        </w:rPr>
      </w:pPr>
      <w:r>
        <w:rPr>
          <w:rFonts w:cs="Arial Black" w:ascii="Arial Black" w:hAnsi="Arial Black"/>
          <w:b/>
          <w:sz w:val="16"/>
        </w:rPr>
      </w:r>
    </w:p>
    <w:p>
      <w:pPr>
        <w:pStyle w:val="Normal"/>
        <w:numPr>
          <w:ilvl w:val="0"/>
          <w:numId w:val="2"/>
        </w:numPr>
        <w:tabs>
          <w:tab w:val="clear" w:pos="720"/>
        </w:tabs>
        <w:spacing w:before="60" w:after="0"/>
        <w:ind w:hanging="360" w:start="360" w:end="-187"/>
        <w:rPr>
          <w:sz w:val="22"/>
        </w:rPr>
      </w:pPr>
      <w:r>
        <w:rPr>
          <w:b/>
          <w:sz w:val="22"/>
        </w:rPr>
        <w:t>True deregulation has worked in other states.</w:t>
      </w:r>
      <w:r>
        <w:rPr>
          <w:sz w:val="22"/>
        </w:rPr>
        <w:t xml:space="preserve">  A number of states including Pennsylvania and New Jersey have demonstrated that electricity deregulation can be done properly to reduce consumer prices and promote reliable electricity supplies.    </w:t>
      </w:r>
    </w:p>
    <w:p>
      <w:pPr>
        <w:pStyle w:val="Normal"/>
        <w:numPr>
          <w:ilvl w:val="0"/>
          <w:numId w:val="2"/>
        </w:numPr>
        <w:tabs>
          <w:tab w:val="clear" w:pos="720"/>
        </w:tabs>
        <w:spacing w:before="60" w:after="0"/>
        <w:ind w:hanging="360" w:start="360" w:end="-187"/>
        <w:rPr>
          <w:sz w:val="22"/>
        </w:rPr>
      </w:pPr>
      <w:r>
        <w:rPr>
          <w:b/>
          <w:sz w:val="22"/>
        </w:rPr>
        <w:t>Competitive markets are natural catalysts for balanced levels of supply and demand.</w:t>
      </w:r>
      <w:r>
        <w:rPr>
          <w:sz w:val="22"/>
        </w:rPr>
        <w:t xml:space="preserve">  Every state in which deregulation has been successful started with a recognition that barriers to new must be removed.  Reform of siting and interconnection policies for new generation is necessary to increase supply.</w:t>
      </w:r>
    </w:p>
    <w:p>
      <w:pPr>
        <w:pStyle w:val="Normal"/>
        <w:numPr>
          <w:ilvl w:val="0"/>
          <w:numId w:val="2"/>
        </w:numPr>
        <w:tabs>
          <w:tab w:val="clear" w:pos="720"/>
        </w:tabs>
        <w:spacing w:before="60" w:after="0"/>
        <w:ind w:hanging="360" w:start="360" w:end="-187"/>
        <w:rPr>
          <w:sz w:val="22"/>
        </w:rPr>
      </w:pPr>
      <w:r>
        <w:rPr>
          <w:b/>
          <w:sz w:val="22"/>
        </w:rPr>
        <w:t>Customers must be able to recognize the value of reducing their consumption when supplies are tight.</w:t>
      </w:r>
      <w:r>
        <w:rPr>
          <w:sz w:val="22"/>
        </w:rPr>
        <w:t xml:space="preserve">  All types of consumers need market price signals and alternative energy options to encourage conservation.  </w:t>
      </w:r>
    </w:p>
    <w:p>
      <w:pPr>
        <w:pStyle w:val="Normal"/>
        <w:numPr>
          <w:ilvl w:val="0"/>
          <w:numId w:val="2"/>
        </w:numPr>
        <w:tabs>
          <w:tab w:val="clear" w:pos="720"/>
        </w:tabs>
        <w:spacing w:before="60" w:after="0"/>
        <w:ind w:hanging="360" w:start="360" w:end="-187"/>
        <w:rPr>
          <w:sz w:val="22"/>
        </w:rPr>
      </w:pPr>
      <w:r>
        <w:rPr>
          <w:b/>
          <w:sz w:val="22"/>
        </w:rPr>
        <w:t>A balanced portfolio of long-term and short-term contracts must be encouraged</w:t>
      </w:r>
      <w:r>
        <w:rPr>
          <w:sz w:val="22"/>
        </w:rPr>
        <w:t>. Long-term contracts allow energy suppliers to lock in stable prices and protect against market volatility.  Short-term contracts are most appropriate for market uncertainties.</w:t>
      </w:r>
    </w:p>
    <w:p>
      <w:pPr>
        <w:pStyle w:val="Normal"/>
        <w:numPr>
          <w:ilvl w:val="0"/>
          <w:numId w:val="2"/>
        </w:numPr>
        <w:tabs>
          <w:tab w:val="clear" w:pos="720"/>
        </w:tabs>
        <w:spacing w:before="60" w:after="0"/>
        <w:ind w:hanging="360" w:start="360" w:end="-180"/>
        <w:rPr>
          <w:sz w:val="22"/>
        </w:rPr>
      </w:pPr>
      <w:r>
        <w:rPr>
          <w:b/>
          <w:sz w:val="22"/>
        </w:rPr>
        <w:t xml:space="preserve">Competition must include investment in the transmission grid to improve reliability and open access on a non-discriminatory basis.   </w:t>
      </w:r>
      <w:r>
        <w:rPr>
          <w:sz w:val="22"/>
        </w:rPr>
        <w:t>The “Energy Super Highway” must be improved and opened up to allow power to be efficiently and reliably moved from where it is available to where it is needed.</w:t>
      </w:r>
    </w:p>
    <w:sectPr>
      <w:type w:val="nextPage"/>
      <w:pgSz w:w="12240" w:h="15840"/>
      <w:pgMar w:left="1080" w:right="1080" w:gutter="0" w:header="0" w:top="5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720"/>
    </w:pPr>
    <w:rPr>
      <w:b/>
      <w:bCs/>
      <w:sz w:val="22"/>
      <w:u w:val="single"/>
    </w:rPr>
  </w:style>
  <w:style w:type="paragraph" w:styleId="BlockText">
    <w:name w:val="Block Text"/>
    <w:basedOn w:val="Normal"/>
    <w:qFormat/>
    <w:pPr>
      <w:ind w:hanging="0" w:start="-180" w:end="-720"/>
      <w:jc w:val="center"/>
    </w:pPr>
    <w:rPr>
      <w:b/>
      <w:bCs/>
    </w:rPr>
  </w:style>
  <w:style w:type="paragraph" w:styleId="BodyTextIndent2">
    <w:name w:val="Body Text Indent 2"/>
    <w:basedOn w:val="Normal"/>
    <w:qFormat/>
    <w:pPr>
      <w:ind w:firstLine="720" w:start="0" w:end="-180"/>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2001-01-26T00:23:00Z</dcterms:created>
  <dc:creator>Quinn Gillespie &amp; Associates LLC</dc:creator>
  <dc:description/>
  <dc:language>en-CA</dc:language>
  <cp:lastModifiedBy>janel guerrero</cp:lastModifiedBy>
  <cp:lastPrinted>2001-02-07T19:39:00Z</cp:lastPrinted>
  <dcterms:modified xsi:type="dcterms:W3CDTF">2001-02-08T12:24:00Z</dcterms:modified>
  <cp:revision>40</cp:revision>
  <dc:subject/>
  <dc:title>DEREGULATION OR REREGULATION</dc:title>
</cp:coreProperties>
</file>