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50" w:type="dxa"/>
        <w:jc w:val="start"/>
        <w:tblInd w:w="-432" w:type="dxa"/>
        <w:tblLayout w:type="fixed"/>
        <w:tblCellMar>
          <w:top w:w="0" w:type="dxa"/>
          <w:start w:w="108" w:type="dxa"/>
          <w:bottom w:w="0" w:type="dxa"/>
          <w:end w:w="108" w:type="dxa"/>
        </w:tblCellMar>
      </w:tblPr>
      <w:tblGrid>
        <w:gridCol w:w="450"/>
        <w:gridCol w:w="1800"/>
        <w:gridCol w:w="4680"/>
        <w:gridCol w:w="1170"/>
        <w:gridCol w:w="1800"/>
        <w:gridCol w:w="450"/>
      </w:tblGrid>
      <w:tr>
        <w:trPr>
          <w:trHeight w:val="1440" w:hRule="exact"/>
        </w:trPr>
        <w:tc>
          <w:tcPr>
            <w:tcW w:w="2250" w:type="dxa"/>
            <w:gridSpan w:val="2"/>
            <w:vMerge w:val="restart"/>
            <w:tcBorders/>
          </w:tcPr>
          <w:p>
            <w:pPr>
              <w:pStyle w:val="Normal"/>
              <w:snapToGrid w:val="false"/>
              <w:rPr>
                <w:sz w:val="20"/>
                <w:lang w:val="en-CA"/>
              </w:rPr>
            </w:pPr>
            <w:r>
              <w:rPr>
                <w:sz w:val="20"/>
                <w:lang w:val="en-CA"/>
              </w:rPr>
            </w:r>
            <w:r>
              <mc:AlternateContent>
                <mc:Choice Requires="wps">
                  <w:drawing>
                    <wp:anchor behindDoc="0" distT="0" distB="0" distL="114935" distR="114935" simplePos="0" locked="0" layoutInCell="0" allowOverlap="1" relativeHeight="3">
                      <wp:simplePos x="0" y="0"/>
                      <wp:positionH relativeFrom="margin">
                        <wp:posOffset>-365760</wp:posOffset>
                      </wp:positionH>
                      <wp:positionV relativeFrom="paragraph">
                        <wp:posOffset>-12065</wp:posOffset>
                      </wp:positionV>
                      <wp:extent cx="1089660" cy="1089660"/>
                      <wp:effectExtent l="0" t="0" r="0" b="0"/>
                      <wp:wrapNone/>
                      <wp:docPr id="1" name="Frame1"/>
                      <a:graphic xmlns:a="http://schemas.openxmlformats.org/drawingml/2006/main">
                        <a:graphicData uri="http://schemas.microsoft.com/office/word/2010/wordprocessingShape">
                          <wps:wsp>
                            <wps:cNvSpPr txBox="1"/>
                            <wps:spPr>
                              <a:xfrm>
                                <a:off x="0" y="0"/>
                                <a:ext cx="1089660" cy="1089660"/>
                              </a:xfrm>
                              <a:prstGeom prst="rect"/>
                              <a:solidFill>
                                <a:srgbClr val="FFFFFF">
                                  <a:alpha val="0"/>
                                </a:srgbClr>
                              </a:solidFill>
                            </wps:spPr>
                            <wps:txbx>
                              <w:txbxContent>
                                <w:p>
                                  <w:pPr>
                                    <w:pStyle w:val="Normal"/>
                                    <w:rPr/>
                                  </w:pPr>
                                  <w:r>
                                    <w:rPr/>
                                    <w:drawing>
                                      <wp:inline distT="0" distB="0" distL="0" distR="0">
                                        <wp:extent cx="1064895" cy="10661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7476" t="32874" r="27476" b="32419"/>
                                                <a:stretch>
                                                  <a:fillRect/>
                                                </a:stretch>
                                              </pic:blipFill>
                                              <pic:spPr bwMode="auto">
                                                <a:xfrm>
                                                  <a:off x="0" y="0"/>
                                                  <a:ext cx="1064895" cy="1066165"/>
                                                </a:xfrm>
                                                <a:prstGeom prst="rect">
                                                  <a:avLst/>
                                                </a:prstGeom>
                                                <a:noFill/>
                                              </pic:spPr>
                                            </pic:pic>
                                          </a:graphicData>
                                        </a:graphic>
                                      </wp:inline>
                                    </w:drawing>
                                  </w:r>
                                </w:p>
                              </w:txbxContent>
                            </wps:txbx>
                            <wps:bodyPr anchor="t" lIns="13335" tIns="13335" rIns="13335" bIns="13335">
                              <a:noAutofit/>
                            </wps:bodyPr>
                          </wps:wsp>
                        </a:graphicData>
                      </a:graphic>
                    </wp:anchor>
                  </w:drawing>
                </mc:Choice>
                <mc:Fallback>
                  <w:pict>
                    <v:rect fillcolor="#FFFFFF" style="position:absolute;rotation:-0;width:85.8pt;height:85.8pt;mso-wrap-distance-left:9.05pt;mso-wrap-distance-right:9.05pt;mso-wrap-distance-top:0pt;mso-wrap-distance-bottom:0pt;margin-top:-0.95pt;mso-position-vertical-relative:text;margin-left:-28.8pt;mso-position-horizontal-relative:margin">
                      <v:fill opacity="0f"/>
                      <v:textbox inset="0.0145833333333333in,0.0145833333333333in,0.0145833333333333in,0.0145833333333333in">
                        <w:txbxContent>
                          <w:p>
                            <w:pPr>
                              <w:pStyle w:val="Normal"/>
                              <w:rPr/>
                            </w:pPr>
                            <w:r>
                              <w:rPr/>
                              <w:drawing>
                                <wp:inline distT="0" distB="0" distL="0" distR="0">
                                  <wp:extent cx="1064895" cy="106616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7476" t="32874" r="27476" b="32419"/>
                                          <a:stretch>
                                            <a:fillRect/>
                                          </a:stretch>
                                        </pic:blipFill>
                                        <pic:spPr bwMode="auto">
                                          <a:xfrm>
                                            <a:off x="0" y="0"/>
                                            <a:ext cx="1064895" cy="1066165"/>
                                          </a:xfrm>
                                          <a:prstGeom prst="rect">
                                            <a:avLst/>
                                          </a:prstGeom>
                                          <a:noFill/>
                                        </pic:spPr>
                                      </pic:pic>
                                    </a:graphicData>
                                  </a:graphic>
                                </wp:inline>
                              </w:drawing>
                            </w:r>
                          </w:p>
                        </w:txbxContent>
                      </v:textbox>
                      <w10:wrap type="none"/>
                    </v:rect>
                  </w:pict>
                </mc:Fallback>
              </mc:AlternateContent>
            </w:r>
          </w:p>
        </w:tc>
        <w:tc>
          <w:tcPr>
            <w:tcW w:w="5850" w:type="dxa"/>
            <w:gridSpan w:val="2"/>
            <w:tcBorders/>
          </w:tcPr>
          <w:p>
            <w:pPr>
              <w:pStyle w:val="Heading2"/>
              <w:ind w:hanging="0" w:start="0"/>
              <w:rPr>
                <w:color w:val="000000"/>
              </w:rPr>
            </w:pPr>
            <w:r>
              <w:rPr>
                <w:color w:val="000000"/>
              </w:rPr>
              <w:t>Department of Energy</w:t>
            </w:r>
          </w:p>
          <w:p>
            <w:pPr>
              <w:pStyle w:val="Normal"/>
              <w:rPr>
                <w:color w:val="000000"/>
                <w:sz w:val="20"/>
              </w:rPr>
            </w:pPr>
            <w:r>
              <w:rPr>
                <w:color w:val="000000"/>
                <w:sz w:val="20"/>
              </w:rPr>
            </w:r>
          </w:p>
          <w:p>
            <w:pPr>
              <w:pStyle w:val="Normal"/>
              <w:jc w:val="center"/>
              <w:rPr>
                <w:sz w:val="20"/>
              </w:rPr>
            </w:pPr>
            <w:r>
              <w:rPr>
                <w:sz w:val="20"/>
              </w:rPr>
              <w:t>Bonneville Power Administration</w:t>
            </w:r>
          </w:p>
          <w:p>
            <w:pPr>
              <w:pStyle w:val="Normal"/>
              <w:jc w:val="center"/>
              <w:rPr>
                <w:sz w:val="20"/>
              </w:rPr>
            </w:pPr>
            <w:r>
              <w:rPr>
                <w:sz w:val="20"/>
              </w:rPr>
              <w:t>P.O. Box 491</w:t>
            </w:r>
          </w:p>
          <w:p>
            <w:pPr>
              <w:pStyle w:val="Normal"/>
              <w:jc w:val="center"/>
              <w:rPr>
                <w:sz w:val="20"/>
              </w:rPr>
            </w:pPr>
            <w:r>
              <w:rPr>
                <w:sz w:val="20"/>
              </w:rPr>
              <w:t>Vancouver, Washington  98666-0491</w:t>
            </w:r>
          </w:p>
        </w:tc>
        <w:tc>
          <w:tcPr>
            <w:tcW w:w="2250" w:type="dxa"/>
            <w:gridSpan w:val="2"/>
            <w:tcBorders/>
          </w:tcPr>
          <w:p>
            <w:pPr>
              <w:pStyle w:val="Normal"/>
              <w:rPr>
                <w:rFonts w:ascii="Times New Roman" w:hAnsi="Times New Roman" w:cs="Times New Roman"/>
              </w:rPr>
            </w:pPr>
            <w:r>
              <w:fldChar w:fldCharType="begin">
                <w:ffData>
                  <w:name w:val="Dropdown1"/>
                  <w:enabled/>
                  <w:ddList>
                    <w:result w:val="0"/>
                    <w:listEntry w:val="                         "/>
                    <w:listEntry w:val="Official File Copy"/>
                    <w:listEntry w:val="Reading File Copy"/>
                  </w:ddList>
                </w:ffData>
              </w:fldChar>
            </w:r>
            <w:r>
              <w:rPr>
                <w:rFonts w:cs="Times New Roman" w:ascii="Times New Roman" w:hAnsi="Times New Roman"/>
                <w:lang w:val="en-CA"/>
              </w:rPr>
              <w:instrText xml:space="preserve"> FORMDROPDOWN </w:instrText>
            </w:r>
            <w:r>
              <w:rPr>
                <w:rFonts w:cs="Times New Roman" w:ascii="Times New Roman" w:hAnsi="Times New Roman"/>
                <w:lang w:val="en-CA"/>
              </w:rPr>
              <w:fldChar w:fldCharType="separate"/>
            </w:r>
            <w:bookmarkStart w:id="0" w:name="Dropdown1"/>
            <w:bookmarkStart w:id="1" w:name="Dropdown1"/>
            <w:bookmarkEnd w:id="1"/>
            <w:r/>
            <w:r>
              <w:rPr>
                <w:rFonts w:cs="Times New Roman" w:ascii="Times New Roman" w:hAnsi="Times New Roman"/>
                <w:lang w:val="en-CA"/>
              </w:rPr>
              <w:fldChar w:fldCharType="end"/>
            </w:r>
            <w:r>
              <w:rPr>
                <w:rFonts w:cs="Times New Roman" w:ascii="Times New Roman" w:hAnsi="Times New Roman"/>
                <w:lang w:val="en-CA"/>
              </w:rPr>
            </w:r>
          </w:p>
        </w:tc>
      </w:tr>
      <w:tr>
        <w:trPr>
          <w:trHeight w:val="600" w:hRule="exact"/>
        </w:trPr>
        <w:tc>
          <w:tcPr>
            <w:tcW w:w="2250" w:type="dxa"/>
            <w:gridSpan w:val="2"/>
            <w:vMerge w:val="continue"/>
            <w:tcBorders/>
          </w:tcPr>
          <w:p>
            <w:pPr>
              <w:pStyle w:val="Normal"/>
              <w:snapToGrid w:val="false"/>
              <w:rPr>
                <w:rFonts w:ascii="Times New Roman" w:hAnsi="Times New Roman" w:cs="Times New Roman"/>
              </w:rPr>
            </w:pPr>
            <w:r>
              <w:rPr>
                <w:rFonts w:cs="Times New Roman" w:ascii="Times New Roman" w:hAnsi="Times New Roman"/>
              </w:rPr>
            </w:r>
          </w:p>
        </w:tc>
        <w:tc>
          <w:tcPr>
            <w:tcW w:w="4680" w:type="dxa"/>
            <w:tcBorders/>
          </w:tcPr>
          <w:p>
            <w:pPr>
              <w:pStyle w:val="Normal"/>
              <w:snapToGrid w:val="false"/>
              <w:rPr>
                <w:rFonts w:ascii="Times New Roman" w:hAnsi="Times New Roman" w:cs="Times New Roman"/>
              </w:rPr>
            </w:pPr>
            <w:r>
              <w:rPr>
                <w:rFonts w:cs="Times New Roman" w:ascii="Times New Roman" w:hAnsi="Times New Roman"/>
              </w:rPr>
            </w:r>
          </w:p>
        </w:tc>
        <w:tc>
          <w:tcPr>
            <w:tcW w:w="3420" w:type="dxa"/>
            <w:gridSpan w:val="3"/>
            <w:tcBorders/>
          </w:tcPr>
          <w:p>
            <w:pPr>
              <w:pStyle w:val="Normal"/>
              <w:rPr>
                <w:rFonts w:ascii="Times New Roman" w:hAnsi="Times New Roman" w:cs="Times New Roman"/>
              </w:rPr>
            </w:pPr>
            <w:r>
              <w:fldChar w:fldCharType="begin">
                <w:ffData>
                  <w:name w:val="Dropdown2"/>
                  <w:enabled/>
                  <w:ddList>
                    <w:result w:val="3"/>
                    <w:listEntry w:val="                          "/>
                    <w:listEntry w:val="POWER BUSINESS LINE"/>
                    <w:listEntry w:val="SHARED SERVICES"/>
                    <w:listEntry w:val="TRANSMISSION BUSINESS LINE"/>
                  </w:ddList>
                </w:ffData>
              </w:fldChar>
            </w:r>
            <w:r>
              <w:rPr>
                <w:rFonts w:cs="Times New Roman" w:ascii="Times New Roman" w:hAnsi="Times New Roman"/>
              </w:rPr>
              <w:instrText xml:space="preserve"> FORMDROPDOWN </w:instrText>
            </w:r>
            <w:r>
              <w:rPr>
                <w:rFonts w:cs="Times New Roman" w:ascii="Times New Roman" w:hAnsi="Times New Roman"/>
              </w:rPr>
              <w:fldChar w:fldCharType="separate"/>
            </w:r>
            <w:bookmarkStart w:id="2" w:name="Dropdown2"/>
            <w:bookmarkStart w:id="3" w:name="Dropdown2"/>
            <w:bookmarkEnd w:id="3"/>
            <w:r/>
            <w:r>
              <w:rPr>
                <w:rFonts w:cs="Times New Roman" w:ascii="Times New Roman" w:hAnsi="Times New Roman"/>
              </w:rPr>
              <w:fldChar w:fldCharType="end"/>
            </w:r>
            <w:r>
              <w:rPr>
                <w:rFonts w:cs="Times New Roman" w:ascii="Times New Roman" w:hAnsi="Times New Roman"/>
              </w:rPr>
            </w:r>
          </w:p>
        </w:tc>
      </w:tr>
      <w:tr>
        <w:trPr/>
        <w:tc>
          <w:tcPr>
            <w:tcW w:w="450" w:type="dxa"/>
            <w:tcBorders/>
            <w:tcMar>
              <w:start w:w="0" w:type="dxa"/>
              <w:end w:w="0" w:type="dxa"/>
            </w:tcMar>
          </w:tcPr>
          <w:p>
            <w:pPr>
              <w:pStyle w:val="Normal"/>
              <w:rPr>
                <w:rFonts w:ascii="Times New Roman" w:hAnsi="Times New Roman" w:cs="Times New Roman"/>
              </w:rPr>
            </w:pPr>
            <w:r>
              <w:rPr>
                <w:rFonts w:cs="Times New Roman" w:ascii="Times New Roman" w:hAnsi="Times New Roman"/>
              </w:rPr>
            </w:r>
          </w:p>
        </w:tc>
        <w:tc>
          <w:tcPr>
            <w:tcW w:w="9450" w:type="dxa"/>
            <w:gridSpan w:val="4"/>
            <w:tcBorders/>
          </w:tcPr>
          <w:p>
            <w:pPr>
              <w:pStyle w:val="Normal"/>
              <w:rPr>
                <w:rFonts w:ascii="Times New Roman" w:hAnsi="Times New Roman" w:cs="Times New Roman"/>
                <w:sz w:val="24"/>
              </w:rPr>
            </w:pPr>
            <w:r>
              <w:fldChar w:fldCharType="begin">
                <w:ffData>
                  <w:name w:val="Text1"/>
                  <w:enabled/>
                  <w:calcOnExit w:val="0"/>
                  <w:textInput/>
                </w:ffData>
              </w:fldChar>
            </w:r>
            <w:r>
              <w:rPr>
                <w:sz w:val="24"/>
                <w:rFonts w:cs="Times New Roman" w:ascii="Times New Roman" w:hAnsi="Times New Roman"/>
              </w:rPr>
              <w:instrText xml:space="preserve"> FORMTEXT </w:instrText>
            </w:r>
            <w:r>
              <w:rPr>
                <w:rFonts w:cs="Times New Roman" w:ascii="Times New Roman" w:hAnsi="Times New Roman"/>
                <w:sz w:val="24"/>
              </w:rPr>
            </w:r>
            <w:r>
              <w:rPr>
                <w:sz w:val="24"/>
                <w:rFonts w:cs="Times New Roman" w:ascii="Times New Roman" w:hAnsi="Times New Roman"/>
              </w:rPr>
              <w:fldChar w:fldCharType="separate"/>
            </w:r>
            <w:r>
              <w:rPr>
                <w:rFonts w:cs="Times New Roman" w:ascii="Times New Roman" w:hAnsi="Times New Roman"/>
                <w:sz w:val="24"/>
              </w:rPr>
              <w:t>March XX, 2001</w:t>
            </w:r>
            <w:r/>
            <w:r>
              <w:rPr>
                <w:sz w:val="24"/>
                <w:rFonts w:cs="Times New Roman" w:ascii="Times New Roman" w:hAnsi="Times New Roman"/>
              </w:rPr>
              <w:fldChar w:fldCharType="end"/>
            </w:r>
            <w:r>
              <w:rPr>
                <w:rFonts w:cs="Times New Roman" w:ascii="Times New Roman" w:hAnsi="Times New Roman"/>
                <w:sz w:val="24"/>
              </w:rPr>
            </w:r>
          </w:p>
          <w:p>
            <w:pPr>
              <w:pStyle w:val="Normal"/>
              <w:rPr>
                <w:rFonts w:ascii="Times New Roman" w:hAnsi="Times New Roman" w:cs="Times New Roman"/>
                <w:b/>
                <w:sz w:val="18"/>
              </w:rPr>
            </w:pPr>
            <w:r>
              <w:rPr>
                <w:rFonts w:cs="Times New Roman" w:ascii="Times New Roman" w:hAnsi="Times New Roman"/>
                <w:b/>
                <w:sz w:val="18"/>
              </w:rPr>
            </w:r>
          </w:p>
          <w:p>
            <w:pPr>
              <w:pStyle w:val="Normal"/>
              <w:rPr>
                <w:rFonts w:ascii="Times New Roman" w:hAnsi="Times New Roman" w:cs="Times New Roman"/>
                <w:sz w:val="24"/>
              </w:rPr>
            </w:pPr>
            <w:r>
              <w:rPr>
                <w:rFonts w:cs="Times New Roman" w:ascii="Times New Roman" w:hAnsi="Times New Roman"/>
                <w:sz w:val="24"/>
              </w:rPr>
              <w:t xml:space="preserve">In reply refer to:  </w:t>
            </w:r>
            <w:r>
              <w:fldChar w:fldCharType="begin">
                <w:ffData>
                  <w:name w:val="Text2"/>
                  <w:enabled/>
                  <w:calcOnExit w:val="0"/>
                  <w:textInput/>
                </w:ffData>
              </w:fldChar>
            </w:r>
            <w:r>
              <w:rPr>
                <w:sz w:val="24"/>
                <w:rFonts w:cs="Times New Roman" w:ascii="Times New Roman" w:hAnsi="Times New Roman"/>
              </w:rPr>
              <w:instrText xml:space="preserve"> FORMTEXT </w:instrText>
            </w:r>
            <w:r>
              <w:rPr>
                <w:rFonts w:cs="Times New Roman" w:ascii="Times New Roman" w:hAnsi="Times New Roman"/>
                <w:sz w:val="24"/>
              </w:rPr>
            </w:r>
            <w:r>
              <w:rPr>
                <w:sz w:val="24"/>
                <w:rFonts w:cs="Times New Roman" w:ascii="Times New Roman" w:hAnsi="Times New Roman"/>
              </w:rPr>
              <w:fldChar w:fldCharType="separate"/>
            </w:r>
            <w:r>
              <w:rPr>
                <w:rFonts w:cs="Times New Roman" w:ascii="Times New Roman" w:hAnsi="Times New Roman"/>
                <w:sz w:val="24"/>
              </w:rPr>
              <w:t>TM/DITT-2</w:t>
            </w:r>
            <w:r/>
            <w:r>
              <w:rPr>
                <w:sz w:val="24"/>
                <w:rFonts w:cs="Times New Roman" w:ascii="Times New Roman" w:hAnsi="Times New Roman"/>
              </w:rPr>
              <w:fldChar w:fldCharType="end"/>
            </w: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tc>
        <w:tc>
          <w:tcPr>
            <w:tcW w:w="450" w:type="dxa"/>
            <w:tcBorders/>
            <w:tcMar>
              <w:start w:w="0" w:type="dxa"/>
              <w:end w:w="0" w:type="dxa"/>
            </w:tcMar>
          </w:tcPr>
          <w:p>
            <w:pPr>
              <w:pStyle w:val="Normal"/>
              <w:snapToGrid w:val="false"/>
              <w:rPr>
                <w:rFonts w:ascii="Times New Roman" w:hAnsi="Times New Roman" w:cs="Times New Roman"/>
                <w:sz w:val="24"/>
              </w:rPr>
            </w:pPr>
            <w:r>
              <w:rPr>
                <w:rFonts w:cs="Times New Roman" w:ascii="Times New Roman" w:hAnsi="Times New Roman"/>
                <w:sz w:val="24"/>
              </w:rPr>
            </w:r>
          </w:p>
        </w:tc>
      </w:tr>
    </w:tbl>
    <w:p>
      <w:pPr>
        <w:sectPr>
          <w:headerReference w:type="default" r:id="rId4"/>
          <w:headerReference w:type="first" r:id="rId5"/>
          <w:type w:val="continuous"/>
          <w:pgSz w:w="12240" w:h="15840"/>
          <w:pgMar w:left="1440" w:right="1440" w:gutter="0" w:header="1440" w:top="1496" w:footer="0" w:bottom="1440"/>
          <w:formProt w:val="true"/>
          <w:titlePg/>
          <w:textDirection w:val="lrTb"/>
          <w:docGrid w:type="default" w:linePitch="360" w:charSpace="0"/>
        </w:sectPr>
      </w:pPr>
    </w:p>
    <w:p>
      <w:pPr>
        <w:pStyle w:val="Heading1"/>
        <w:ind w:hanging="0" w:start="0"/>
        <w:rPr/>
      </w:pPr>
      <w:r>
        <w:rPr/>
        <w:tab/>
        <w:tab/>
        <w:tab/>
        <w:tab/>
        <w:tab/>
        <w:tab/>
        <w:tab/>
        <w:tab/>
        <w:t>Contract No. 99TX-10231</w:t>
      </w:r>
    </w:p>
    <w:p>
      <w:pPr>
        <w:pStyle w:val="Normal"/>
        <w:rPr/>
      </w:pPr>
      <w:r>
        <w:rPr/>
        <w:tab/>
        <w:tab/>
        <w:tab/>
        <w:tab/>
        <w:tab/>
        <w:tab/>
        <w:tab/>
        <w:tab/>
      </w:r>
      <w:r>
        <w:rPr>
          <w:rFonts w:cs="Times New Roman" w:ascii="Times New Roman" w:hAnsi="Times New Roman"/>
          <w:sz w:val="24"/>
        </w:rPr>
        <w:t>Exhibit C, Revision 3</w:t>
      </w:r>
    </w:p>
    <w:p>
      <w:pPr>
        <w:pStyle w:val="Heading1"/>
        <w:ind w:hanging="0" w:start="0"/>
        <w:rPr>
          <w:rFonts w:ascii="Times New Roman" w:hAnsi="Times New Roman" w:cs="Times New Roman"/>
          <w:sz w:val="24"/>
        </w:rPr>
      </w:pPr>
      <w:r>
        <w:rPr>
          <w:rFonts w:cs="Times New Roman"/>
          <w:sz w:val="24"/>
        </w:rPr>
      </w:r>
    </w:p>
    <w:p>
      <w:pPr>
        <w:pStyle w:val="Heading1"/>
        <w:ind w:hanging="0" w:start="0"/>
        <w:rPr/>
      </w:pPr>
      <w:r>
        <w:rPr/>
        <w:t>Mr. Timothy Belden, Vice President</w:t>
      </w:r>
    </w:p>
    <w:p>
      <w:pPr>
        <w:pStyle w:val="Normal"/>
        <w:rPr>
          <w:rFonts w:ascii="Times New Roman" w:hAnsi="Times New Roman" w:cs="Times New Roman"/>
          <w:sz w:val="24"/>
        </w:rPr>
      </w:pPr>
      <w:r>
        <w:rPr>
          <w:rFonts w:cs="Times New Roman" w:ascii="Times New Roman" w:hAnsi="Times New Roman"/>
          <w:sz w:val="24"/>
        </w:rPr>
        <w:t>Enron Power Marketing, Inc.</w:t>
      </w:r>
    </w:p>
    <w:p>
      <w:pPr>
        <w:pStyle w:val="Heading1"/>
        <w:ind w:hanging="0" w:start="0"/>
        <w:rPr/>
      </w:pPr>
      <w:r>
        <w:rPr/>
        <w:t>121 SW Salmon, 3WTC0306</w:t>
      </w:r>
    </w:p>
    <w:p>
      <w:pPr>
        <w:pStyle w:val="Normal"/>
        <w:rPr>
          <w:rFonts w:ascii="Times New Roman" w:hAnsi="Times New Roman" w:cs="Times New Roman"/>
          <w:sz w:val="24"/>
        </w:rPr>
      </w:pPr>
      <w:r>
        <w:rPr>
          <w:rFonts w:cs="Times New Roman" w:ascii="Times New Roman" w:hAnsi="Times New Roman"/>
          <w:sz w:val="24"/>
        </w:rPr>
        <w:t>Portland, Oregon  97204</w:t>
      </w:r>
    </w:p>
    <w:p>
      <w:pPr>
        <w:pStyle w:val="Normal"/>
        <w:rPr>
          <w:rFonts w:ascii="Times New Roman" w:hAnsi="Times New Roman" w:cs="Times New Roman"/>
          <w:sz w:val="24"/>
        </w:rPr>
      </w:pPr>
      <w:r>
        <w:rPr>
          <w:rFonts w:cs="Times New Roman" w:ascii="Times New Roman" w:hAnsi="Times New Roman"/>
          <w:sz w:val="24"/>
        </w:rPr>
      </w:r>
    </w:p>
    <w:p>
      <w:pPr>
        <w:pStyle w:val="BodyText"/>
        <w:rPr/>
      </w:pPr>
      <w:r>
        <w:rPr/>
        <w:t>Dear Mr. Belden:</w:t>
      </w:r>
    </w:p>
    <w:p>
      <w:pPr>
        <w:pStyle w:val="Normal"/>
        <w:rPr>
          <w:rFonts w:ascii="Times New Roman" w:hAnsi="Times New Roman" w:cs="Times New Roman"/>
          <w:sz w:val="24"/>
        </w:rPr>
      </w:pPr>
      <w:r>
        <w:rPr>
          <w:rFonts w:cs="Times New Roman" w:ascii="Times New Roman" w:hAnsi="Times New Roman"/>
          <w:sz w:val="24"/>
        </w:rPr>
      </w:r>
    </w:p>
    <w:p>
      <w:pPr>
        <w:pStyle w:val="BodyText"/>
        <w:rPr/>
      </w:pPr>
      <w:r>
        <w:rPr/>
        <w:t>In discussions with Enron Power Marketing, Inc. (EPMI) personnel it was determined that EPMI is purchasing 5 MW of interruptible electric power generated by the Grays Harbor Paper. L.P. generator located in Hoquiam, Washington.  The power is integrated into the Federal transmission system at the interconnection with Grays Harbor PUD in the vicinity of Bonneville Power Administration’s Aberdeen Substation.  EPMI is purchasing nonfirm and/or short-term firm transmission from BPA’s Transmission Business Line (TBL) under Contract No. 99TX-10231 to transmit the project output.  EPMI desires to purchase ancillary services, as follows, associated with the transmisson of the project output.</w:t>
      </w:r>
    </w:p>
    <w:p>
      <w:pPr>
        <w:pStyle w:val="BodyText"/>
        <w:rPr/>
      </w:pPr>
      <w:r>
        <w:rPr/>
      </w:r>
    </w:p>
    <w:p>
      <w:pPr>
        <w:pStyle w:val="BodyText"/>
        <w:rPr/>
      </w:pPr>
      <w:r>
        <w:rPr/>
        <w:t xml:space="preserve">1. </w:t>
      </w:r>
      <w:r>
        <w:rPr>
          <w:u w:val="single"/>
        </w:rPr>
        <w:t>Term</w:t>
      </w:r>
      <w:r>
        <w:rPr/>
        <w:t>.  The purchase of ancillary services commences at 2400 hours on March 5, 2001, and continues until 2400 hours on September 30, 2001.  This Revision 3 does not supersede previous revisions to Exhibit C of Contract No. 99TX-10231.</w:t>
      </w:r>
    </w:p>
    <w:p>
      <w:pPr>
        <w:pStyle w:val="BodyText"/>
        <w:rPr/>
      </w:pPr>
      <w:r>
        <w:rPr/>
      </w:r>
    </w:p>
    <w:p>
      <w:pPr>
        <w:pStyle w:val="BodyText"/>
        <w:rPr/>
      </w:pPr>
      <w:r>
        <w:rPr/>
        <w:t xml:space="preserve">2. </w:t>
      </w:r>
      <w:r>
        <w:rPr>
          <w:u w:val="single"/>
        </w:rPr>
        <w:t>Purchase of Ancillary Services</w:t>
      </w:r>
      <w:r>
        <w:rPr/>
        <w:t>.  BPA-TBL will sell, and EPMI will purchase, Control Area Reserves for Resources (CAR-R) (Partial Service)—Generation Following.  The rate for such service is specified in section 3.3 of the CAR-R Ancillary Products and Services Rate.  EPMI must notify BPA-TBL’s system dispatcher within five minutes of any interruption in a purchase.  If EPMI fails to so notify the BPA-TBL system dispatcher, BPA-TBL will charge EPMI the rate for CAR-R (Full Service) for the month.  Such rate is specified in section 1.2 of the the CAR-R Ancillary Products and Services Rate.  In addition, EPMI will be responsible for compensating BPA-TBL for associated energy pursuant to BPA-TBL’s CAR-R business practice, dated 12/28/00.</w:t>
      </w:r>
    </w:p>
    <w:p>
      <w:pPr>
        <w:pStyle w:val="BodyText"/>
        <w:rPr/>
      </w:pPr>
      <w:r>
        <w:rPr/>
      </w:r>
    </w:p>
    <w:p>
      <w:pPr>
        <w:pStyle w:val="BodyText"/>
        <w:rPr/>
      </w:pPr>
      <w:r>
        <w:rPr/>
        <w:t>Please sign both copies of this agreement and return one signed copy to me by _____________.  Please call me at (360) 418-8283 if you have any questions.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ind w:start="5040" w:end="0"/>
        <w:rPr>
          <w:rFonts w:ascii="Times New Roman" w:hAnsi="Times New Roman" w:cs="Times New Roman"/>
          <w:sz w:val="24"/>
        </w:rPr>
      </w:pPr>
      <w:r>
        <w:rPr>
          <w:rFonts w:cs="Times New Roman" w:ascii="Times New Roman" w:hAnsi="Times New Roman"/>
          <w:sz w:val="24"/>
        </w:rPr>
        <w:t>Sincerely,</w:t>
      </w:r>
    </w:p>
    <w:p>
      <w:pPr>
        <w:pStyle w:val="Normal"/>
        <w:ind w:start="5040" w:end="0"/>
        <w:rPr>
          <w:rFonts w:ascii="Times New Roman" w:hAnsi="Times New Roman" w:cs="Times New Roman"/>
          <w:sz w:val="24"/>
        </w:rPr>
      </w:pPr>
      <w:r>
        <w:rPr>
          <w:rFonts w:cs="Times New Roman" w:ascii="Times New Roman" w:hAnsi="Times New Roman"/>
          <w:sz w:val="24"/>
        </w:rPr>
      </w:r>
    </w:p>
    <w:p>
      <w:pPr>
        <w:pStyle w:val="Normal"/>
        <w:ind w:start="5040" w:end="0"/>
        <w:rPr>
          <w:rFonts w:ascii="Times New Roman" w:hAnsi="Times New Roman" w:cs="Times New Roman"/>
          <w:sz w:val="24"/>
        </w:rPr>
      </w:pPr>
      <w:r>
        <w:rPr>
          <w:rFonts w:cs="Times New Roman" w:ascii="Times New Roman" w:hAnsi="Times New Roman"/>
          <w:sz w:val="24"/>
        </w:rPr>
        <w:t>[DRAFT]</w:t>
      </w:r>
    </w:p>
    <w:p>
      <w:pPr>
        <w:pStyle w:val="Normal"/>
        <w:ind w:start="5040" w:end="0"/>
        <w:rPr>
          <w:rFonts w:ascii="Times New Roman" w:hAnsi="Times New Roman" w:cs="Times New Roman"/>
          <w:sz w:val="24"/>
        </w:rPr>
      </w:pPr>
      <w:r>
        <w:rPr>
          <w:rFonts w:cs="Times New Roman" w:ascii="Times New Roman" w:hAnsi="Times New Roman"/>
          <w:sz w:val="24"/>
        </w:rPr>
      </w:r>
    </w:p>
    <w:p>
      <w:pPr>
        <w:pStyle w:val="Heading1"/>
        <w:ind w:hanging="0" w:start="5040" w:end="0"/>
        <w:rPr>
          <w:rFonts w:ascii="Times New Roman" w:hAnsi="Times New Roman" w:cs="Times New Roman"/>
          <w:sz w:val="24"/>
        </w:rPr>
      </w:pPr>
      <w:r>
        <w:rPr>
          <w:rFonts w:cs="Times New Roman"/>
          <w:sz w:val="24"/>
        </w:rPr>
      </w:r>
    </w:p>
    <w:p>
      <w:pPr>
        <w:pStyle w:val="Heading1"/>
        <w:ind w:hanging="0" w:start="5040" w:end="0"/>
        <w:rPr/>
      </w:pPr>
      <w:r>
        <w:rPr/>
        <w:t>Allan F. Paschke</w:t>
      </w:r>
    </w:p>
    <w:p>
      <w:pPr>
        <w:pStyle w:val="Normal"/>
        <w:ind w:start="5040" w:end="0"/>
        <w:rPr>
          <w:rFonts w:ascii="Times New Roman" w:hAnsi="Times New Roman" w:cs="Times New Roman"/>
          <w:sz w:val="24"/>
        </w:rPr>
      </w:pPr>
      <w:r>
        <w:rPr>
          <w:rFonts w:cs="Times New Roman" w:ascii="Times New Roman" w:hAnsi="Times New Roman"/>
          <w:sz w:val="24"/>
        </w:rPr>
        <w:t>Account Executive</w:t>
      </w:r>
    </w:p>
    <w:p>
      <w:pPr>
        <w:pStyle w:val="Normal"/>
        <w:ind w:start="5040" w:end="0"/>
        <w:rPr>
          <w:rFonts w:ascii="Times New Roman" w:hAnsi="Times New Roman" w:cs="Times New Roman"/>
          <w:sz w:val="24"/>
        </w:rPr>
      </w:pPr>
      <w:r>
        <w:rPr>
          <w:rFonts w:cs="Times New Roman" w:ascii="Times New Roman" w:hAnsi="Times New Roman"/>
          <w:sz w:val="24"/>
        </w:rPr>
        <w:t>Transmission Marketing and Sales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ACCEPTED:</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ENRON  POWER MARKETING</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By:</w:t>
        <w:tab/>
        <w:tab/>
        <w:t>______________________________</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Name:</w:t>
        <w:tab/>
        <w:tab/>
        <w:t>______________________________</w:t>
      </w:r>
    </w:p>
    <w:p>
      <w:pPr>
        <w:pStyle w:val="Heading5"/>
        <w:ind w:hanging="0" w:start="0"/>
        <w:rPr/>
      </w:pPr>
      <w:r>
        <w:rPr/>
        <w:t>Print/Type</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Title:</w:t>
        <w:tab/>
        <w:tab/>
        <w:t>______________________________</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Date:</w:t>
        <w:tab/>
        <w:tab/>
        <w:t>______________________________</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sectPr>
      <w:type w:val="continuous"/>
      <w:pgSz w:w="12240" w:h="15840"/>
      <w:pgMar w:left="1440" w:right="1440" w:gutter="0" w:header="1440" w:top="1496" w:footer="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rFonts w:ascii="Times New Roman" w:hAnsi="Times New Roman" w:cs="Times New Roman"/>
        <w:sz w:val="24"/>
      </w:rPr>
    </w:pPr>
    <w:r>
      <w:rPr>
        <w:rFonts w:cs="Times New Roman" w:ascii="Times New Roman" w:hAnsi="Times New Roman"/>
        <w:sz w:val="24"/>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4"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w:t>
                          </w:r>
                          <w:r>
                            <w:rPr>
                              <w:rStyle w:val="PageNumber"/>
                              <w:sz w:val="24"/>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Head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w:t>
                    </w:r>
                    <w:r>
                      <w:rPr>
                        <w:rStyle w:val="PageNumber"/>
                        <w:sz w:val="24"/>
                        <w:rFonts w:cs="Times New Roman" w:ascii="Times New Roman" w:hAnsi="Times New Roman"/>
                      </w:rPr>
                      <w:fldChar w:fldCharType="end"/>
                    </w:r>
                  </w:p>
                </w:txbxContent>
              </v:textbox>
              <w10:wrap type="square"/>
            </v:rect>
          </w:pict>
        </mc:Fallback>
      </mc:AlternateContent>
    </w:r>
  </w:p>
  <w:p>
    <w:pPr>
      <w:pStyle w:val="Header"/>
      <w:ind w:end="360"/>
      <w:rPr>
        <w:rFonts w:ascii="Times New Roman" w:hAnsi="Times New Roman" w:cs="Times New Roman"/>
        <w:sz w:val="24"/>
      </w:rPr>
    </w:pPr>
    <w:r>
      <w:rPr>
        <w:rFonts w:cs="Times New Roman" w:ascii="Times New Roman" w:hAnsi="Times New Roman"/>
        <w:sz w:val="24"/>
      </w:rPr>
    </w:r>
  </w:p>
  <w:p>
    <w:pPr>
      <w:pStyle w:val="Header"/>
      <w:ind w:end="360"/>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16"/>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b/>
      <w:color w:val="auto"/>
      <w:sz w:val="24"/>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sz w:val="24"/>
    </w:rPr>
  </w:style>
  <w:style w:type="paragraph" w:styleId="Heading4">
    <w:name w:val="heading 4"/>
    <w:basedOn w:val="Normal"/>
    <w:next w:val="Normal"/>
    <w:qFormat/>
    <w:pPr>
      <w:keepNext w:val="true"/>
      <w:numPr>
        <w:ilvl w:val="3"/>
        <w:numId w:val="1"/>
      </w:numPr>
      <w:jc w:val="cente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i/>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rPr>
      <w:rFonts w:ascii="Times New Roman" w:hAnsi="Times New Roman" w:cs="Times New Roman"/>
      <w:color w:val="0000FF"/>
      <w:sz w:val="24"/>
    </w:rPr>
  </w:style>
  <w:style w:type="paragraph" w:styleId="BodyTextIndent">
    <w:name w:val="Body Text Indent"/>
    <w:basedOn w:val="Normal"/>
    <w:pPr>
      <w:ind w:hanging="0" w:start="720" w:end="0"/>
    </w:pPr>
    <w:rPr>
      <w:rFonts w:ascii="Times New Roman" w:hAnsi="Times New Roman" w:cs="Times New Roman"/>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vancbx.DOT</Template>
  <TotalTime>1016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1999-08-16T16:19:00Z</dcterms:created>
  <dc:creator>Al Paschke</dc:creator>
  <dc:description/>
  <dc:language>en-CA</dc:language>
  <cp:lastModifiedBy>Al Paschke</cp:lastModifiedBy>
  <cp:lastPrinted>2001-03-20T08:25:00Z</cp:lastPrinted>
  <dcterms:modified xsi:type="dcterms:W3CDTF">2001-03-20T13:55:00Z</dcterms:modified>
  <cp:revision>59</cp:revision>
  <dc:subject/>
  <dc:title> </dc:title>
</cp:coreProperties>
</file>