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er"/>
        <w:numPr>
          <w:ilvl w:val="0"/>
          <w:numId w:val="0"/>
        </w:numPr>
        <w:tabs>
          <w:tab w:val="clear" w:pos="4252"/>
          <w:tab w:val="clear" w:pos="8504"/>
        </w:tabs>
        <w:snapToGrid w:val="true"/>
        <w:spacing w:lineRule="exact" w:line="240"/>
        <w:outlineLvl w:val="0"/>
        <w:rPr>
          <w:rFonts w:ascii="Times New Roman" w:hAnsi="Times New Roman" w:cs="Times New Roman"/>
        </w:rPr>
      </w:pPr>
      <w:r>
        <w:rPr>
          <w:rFonts w:cs="Times New Roman" w:ascii="Times New Roman" w:hAnsi="Times New Roman"/>
        </w:rPr>
        <w:t>Denki Shimbun</w:t>
      </w:r>
    </w:p>
    <w:p>
      <w:pPr>
        <w:pStyle w:val="Normal"/>
        <w:spacing w:lineRule="exact" w:line="240"/>
        <w:rPr>
          <w:rFonts w:ascii="Times New Roman" w:hAnsi="Times New Roman" w:cs="Times New Roman"/>
        </w:rPr>
      </w:pPr>
      <w:r>
        <w:rPr>
          <w:rFonts w:cs="Times New Roman" w:ascii="Times New Roman" w:hAnsi="Times New Roman"/>
        </w:rPr>
        <w:t xml:space="preserve">October </w:t>
      </w:r>
      <w:r>
        <w:rPr>
          <w:rFonts w:cs="Times New Roman" w:ascii="Times New Roman" w:hAnsi="Times New Roman"/>
        </w:rPr>
        <w:t>23</w:t>
      </w:r>
      <w:r>
        <w:rPr>
          <w:rFonts w:cs="Times New Roman" w:ascii="Times New Roman" w:hAnsi="Times New Roman"/>
        </w:rPr>
        <w:t>, 2001</w:t>
      </w:r>
    </w:p>
    <w:p>
      <w:pPr>
        <w:pStyle w:val="Normal"/>
        <w:spacing w:lineRule="exact" w:line="240"/>
        <w:rPr>
          <w:rFonts w:ascii="Times New Roman" w:hAnsi="Times New Roman" w:cs="Times New Roman"/>
        </w:rPr>
      </w:pPr>
      <w:r>
        <w:rPr>
          <w:rFonts w:cs="Times New Roman" w:ascii="Times New Roman" w:hAnsi="Times New Roman"/>
        </w:rPr>
        <w:t>Page 1</w:t>
      </w:r>
    </w:p>
    <w:p>
      <w:pPr>
        <w:pStyle w:val="Normal"/>
        <w:spacing w:lineRule="exact" w:line="240"/>
        <w:rPr>
          <w:rFonts w:ascii="Times New Roman" w:hAnsi="Times New Roman" w:cs="Times New Roman"/>
        </w:rPr>
      </w:pPr>
      <w:r>
        <w:rPr>
          <w:rFonts w:cs="Times New Roman" w:ascii="Times New Roman" w:hAnsi="Times New Roman"/>
        </w:rPr>
        <w:t>Circulation: 71,800</w:t>
      </w:r>
    </w:p>
    <w:p>
      <w:pPr>
        <w:pStyle w:val="2"/>
        <w:spacing w:lineRule="exact" w:line="240"/>
        <w:jc w:val="both"/>
        <w:rPr>
          <w:rFonts w:ascii="Times New Roman" w:hAnsi="Times New Roman" w:cs="Times New Roman"/>
        </w:rPr>
      </w:pPr>
      <w:r>
        <w:rPr>
          <w:rFonts w:cs="Times New Roman"/>
        </w:rPr>
      </w:r>
    </w:p>
    <w:p>
      <w:pPr>
        <w:pStyle w:val="Normal"/>
        <w:spacing w:lineRule="exact" w:line="360"/>
        <w:jc w:val="center"/>
        <w:rPr/>
      </w:pPr>
      <w:r>
        <w:rPr>
          <w:rFonts w:cs="Times New Roman" w:ascii="Times New Roman" w:hAnsi="Times New Roman"/>
          <w:b/>
          <w:sz w:val="24"/>
        </w:rPr>
        <w:t xml:space="preserve">Power marketers, </w:t>
      </w:r>
      <w:r>
        <w:rPr>
          <w:rFonts w:cs="Times New Roman" w:ascii="Times New Roman" w:hAnsi="Times New Roman"/>
          <w:b/>
          <w:sz w:val="24"/>
        </w:rPr>
        <w:t>generators</w:t>
      </w:r>
      <w:r>
        <w:rPr>
          <w:rFonts w:cs="Times New Roman" w:ascii="Times New Roman" w:hAnsi="Times New Roman"/>
          <w:b/>
          <w:sz w:val="24"/>
        </w:rPr>
        <w:t xml:space="preserve">, and retailers take different positions on </w:t>
      </w:r>
    </w:p>
    <w:p>
      <w:pPr>
        <w:pStyle w:val="Normal"/>
        <w:spacing w:lineRule="exact" w:line="360"/>
        <w:jc w:val="center"/>
        <w:rPr>
          <w:rFonts w:ascii="Times New Roman" w:hAnsi="Times New Roman" w:cs="Times New Roman"/>
          <w:b/>
          <w:sz w:val="24"/>
        </w:rPr>
      </w:pPr>
      <w:r>
        <w:rPr>
          <w:rFonts w:cs="Times New Roman" w:ascii="Times New Roman" w:hAnsi="Times New Roman"/>
          <w:b/>
          <w:sz w:val="24"/>
        </w:rPr>
        <w:t>wholesale electricity trading</w:t>
      </w:r>
    </w:p>
    <w:p>
      <w:pPr>
        <w:pStyle w:val="Normal"/>
        <w:spacing w:lineRule="exact" w:line="360"/>
        <w:jc w:val="center"/>
        <w:rPr/>
      </w:pPr>
      <w:r>
        <w:rPr>
          <w:rFonts w:cs="Times New Roman" w:ascii="Times New Roman" w:hAnsi="Times New Roman"/>
          <w:b/>
          <w:sz w:val="24"/>
        </w:rPr>
        <w:t>The</w:t>
      </w:r>
      <w:r>
        <w:rPr>
          <w:rFonts w:cs="Times New Roman" w:ascii="Times New Roman" w:hAnsi="Times New Roman"/>
          <w:b/>
          <w:sz w:val="24"/>
        </w:rPr>
        <w:t xml:space="preserve"> Economy, Trade and Industry</w:t>
      </w:r>
      <w:r>
        <w:rPr>
          <w:rFonts w:cs="Times New Roman" w:ascii="Times New Roman" w:hAnsi="Times New Roman"/>
          <w:b/>
          <w:sz w:val="24"/>
        </w:rPr>
        <w:t xml:space="preserve"> Ministry</w:t>
      </w:r>
      <w:r>
        <w:rPr>
          <w:rFonts w:cs="Times New Roman" w:ascii="Times New Roman" w:hAnsi="Times New Roman"/>
          <w:b/>
          <w:sz w:val="24"/>
        </w:rPr>
        <w:t xml:space="preserve"> announces it finds no problems with forward agreements</w:t>
      </w:r>
    </w:p>
    <w:p>
      <w:pPr>
        <w:pStyle w:val="Normal"/>
        <w:spacing w:lineRule="exact" w:line="360"/>
        <w:jc w:val="center"/>
        <w:rPr>
          <w:rFonts w:ascii="Times New Roman" w:hAnsi="Times New Roman" w:cs="Times New Roman"/>
          <w:b/>
          <w:sz w:val="24"/>
        </w:rPr>
      </w:pPr>
      <w:r>
        <w:rPr>
          <w:rFonts w:cs="Times New Roman" w:ascii="Times New Roman" w:hAnsi="Times New Roman"/>
          <w:b/>
          <w:sz w:val="24"/>
        </w:rPr>
        <w:t>Players take quick action on the market</w:t>
      </w:r>
    </w:p>
    <w:p>
      <w:pPr>
        <w:pStyle w:val="Normal"/>
        <w:spacing w:lineRule="exact" w:line="360"/>
        <w:jc w:val="center"/>
        <w:rPr>
          <w:rFonts w:ascii="Times New Roman" w:hAnsi="Times New Roman" w:cs="Times New Roman"/>
          <w:b/>
          <w:sz w:val="24"/>
        </w:rPr>
      </w:pPr>
      <w:r>
        <w:rPr>
          <w:rFonts w:cs="Times New Roman" w:ascii="Times New Roman" w:hAnsi="Times New Roman"/>
          <w:b/>
          <w:sz w:val="24"/>
        </w:rPr>
      </w:r>
    </w:p>
    <w:p>
      <w:pPr>
        <w:pStyle w:val="Normal"/>
        <w:spacing w:lineRule="exact" w:line="360"/>
        <w:rPr/>
      </w:pPr>
      <w:r>
        <w:rPr>
          <w:rFonts w:cs="Times New Roman" w:ascii="Times New Roman" w:hAnsi="Times New Roman"/>
          <w:i/>
          <w:sz w:val="22"/>
        </w:rPr>
        <w:t>The</w:t>
      </w:r>
      <w:r>
        <w:rPr>
          <w:rFonts w:cs="Times New Roman" w:ascii="Times New Roman" w:hAnsi="Times New Roman"/>
          <w:i/>
          <w:sz w:val="22"/>
        </w:rPr>
        <w:t xml:space="preserve"> hot topic of conversations among </w:t>
      </w:r>
      <w:r>
        <w:rPr>
          <w:rFonts w:cs="Times New Roman" w:ascii="Times New Roman" w:hAnsi="Times New Roman"/>
          <w:i/>
          <w:sz w:val="22"/>
        </w:rPr>
        <w:t xml:space="preserve">those who have an appetite for wholesale electricity trading is the </w:t>
      </w:r>
      <w:r>
        <w:rPr>
          <w:rFonts w:cs="Times New Roman" w:ascii="Times New Roman" w:hAnsi="Times New Roman"/>
          <w:i/>
          <w:sz w:val="22"/>
        </w:rPr>
        <w:t>Economy, Trade and Industry Ministry (METI)</w:t>
      </w:r>
      <w:r>
        <w:rPr>
          <w:rFonts w:cs="Times New Roman" w:ascii="Times New Roman" w:hAnsi="Times New Roman"/>
          <w:i/>
          <w:sz w:val="22"/>
        </w:rPr>
        <w:t>’</w:t>
      </w:r>
      <w:r>
        <w:rPr>
          <w:rFonts w:cs="Times New Roman" w:ascii="Times New Roman" w:hAnsi="Times New Roman"/>
          <w:i/>
          <w:sz w:val="22"/>
        </w:rPr>
        <w:t xml:space="preserve">s </w:t>
      </w:r>
      <w:r>
        <w:rPr>
          <w:rFonts w:cs="Times New Roman" w:ascii="Times New Roman" w:hAnsi="Times New Roman"/>
          <w:i/>
          <w:sz w:val="22"/>
        </w:rPr>
        <w:t>opinion</w:t>
      </w:r>
      <w:r>
        <w:rPr>
          <w:rFonts w:cs="Times New Roman" w:ascii="Times New Roman" w:hAnsi="Times New Roman"/>
          <w:i/>
          <w:sz w:val="22"/>
        </w:rPr>
        <w:t xml:space="preserve">s on forward agreements, released recently.  </w:t>
      </w:r>
      <w:r>
        <w:rPr>
          <w:rFonts w:cs="Times New Roman" w:ascii="Times New Roman" w:hAnsi="Times New Roman"/>
          <w:i/>
          <w:sz w:val="22"/>
        </w:rPr>
        <w:t>The</w:t>
      </w:r>
      <w:r>
        <w:rPr>
          <w:rFonts w:cs="Times New Roman" w:ascii="Times New Roman" w:hAnsi="Times New Roman"/>
          <w:i/>
          <w:sz w:val="22"/>
        </w:rPr>
        <w:t xml:space="preserve"> ministry has concluded that electric power companies, independent power suppliers, and marketers need no new permissions or registrations according to </w:t>
      </w:r>
      <w:r>
        <w:rPr>
          <w:rFonts w:cs="Times New Roman" w:ascii="Times New Roman" w:hAnsi="Times New Roman"/>
          <w:i/>
          <w:sz w:val="22"/>
        </w:rPr>
        <w:t>the</w:t>
      </w:r>
      <w:r>
        <w:rPr>
          <w:rFonts w:cs="Times New Roman" w:ascii="Times New Roman" w:hAnsi="Times New Roman"/>
          <w:i/>
          <w:sz w:val="22"/>
        </w:rPr>
        <w:t xml:space="preserve"> Electricity Utility Industry Law when they sell or purchase electricity to be supplied in the future.  In other words, METI gave </w:t>
      </w:r>
      <w:r>
        <w:rPr>
          <w:rFonts w:cs="Times New Roman" w:ascii="Times New Roman" w:hAnsi="Times New Roman"/>
          <w:i/>
          <w:sz w:val="22"/>
        </w:rPr>
        <w:t>the</w:t>
      </w:r>
      <w:r>
        <w:rPr>
          <w:rFonts w:cs="Times New Roman" w:ascii="Times New Roman" w:hAnsi="Times New Roman"/>
          <w:i/>
          <w:sz w:val="22"/>
        </w:rPr>
        <w:t xml:space="preserve"> green light to make forward agreements under </w:t>
      </w:r>
      <w:r>
        <w:rPr>
          <w:rFonts w:cs="Times New Roman" w:ascii="Times New Roman" w:hAnsi="Times New Roman"/>
          <w:i/>
          <w:sz w:val="22"/>
        </w:rPr>
        <w:t>the</w:t>
      </w:r>
      <w:r>
        <w:rPr>
          <w:rFonts w:cs="Times New Roman" w:ascii="Times New Roman" w:hAnsi="Times New Roman"/>
          <w:i/>
          <w:sz w:val="22"/>
        </w:rPr>
        <w:t xml:space="preserve"> current regulatory system.  Sales and purchase prices had already been presented before </w:t>
      </w:r>
      <w:r>
        <w:rPr>
          <w:rFonts w:cs="Times New Roman" w:ascii="Times New Roman" w:hAnsi="Times New Roman"/>
          <w:i/>
          <w:sz w:val="22"/>
        </w:rPr>
        <w:t>the</w:t>
      </w:r>
      <w:r>
        <w:rPr>
          <w:rFonts w:cs="Times New Roman" w:ascii="Times New Roman" w:hAnsi="Times New Roman"/>
          <w:i/>
          <w:sz w:val="22"/>
        </w:rPr>
        <w:t xml:space="preserve"> ministry released its opinions.  This article analyzes whether a wholesale market will be established under the current system, which is to be put under review soon.</w:t>
      </w:r>
    </w:p>
    <w:p>
      <w:pPr>
        <w:pStyle w:val="Normal"/>
        <w:spacing w:lineRule="exact" w:line="360"/>
        <w:rPr>
          <w:rFonts w:ascii="Times New Roman" w:hAnsi="Times New Roman" w:cs="Times New Roman"/>
          <w:i/>
          <w:i/>
          <w:sz w:val="22"/>
        </w:rPr>
      </w:pPr>
      <w:r>
        <w:rPr>
          <w:rFonts w:cs="Times New Roman" w:ascii="Times New Roman" w:hAnsi="Times New Roman"/>
          <w:i/>
          <w:sz w:val="22"/>
        </w:rPr>
        <w:t>(By Masahiro Maniwa, editor)</w:t>
      </w:r>
    </w:p>
    <w:p>
      <w:pPr>
        <w:pStyle w:val="Normal"/>
        <w:spacing w:lineRule="exact" w:line="360"/>
        <w:rPr>
          <w:rFonts w:ascii="Times New Roman" w:hAnsi="Times New Roman" w:cs="Times New Roman"/>
          <w:i/>
          <w:i/>
          <w:sz w:val="22"/>
        </w:rPr>
      </w:pPr>
      <w:r>
        <w:rPr>
          <w:rFonts w:cs="Times New Roman" w:ascii="Times New Roman" w:hAnsi="Times New Roman"/>
          <w:i/>
          <w:sz w:val="22"/>
        </w:rPr>
      </w:r>
    </w:p>
    <w:p>
      <w:pPr>
        <w:pStyle w:val="Heading3"/>
        <w:spacing w:lineRule="exact" w:line="360"/>
        <w:ind w:hanging="0" w:start="0"/>
        <w:rPr/>
      </w:pPr>
      <w:r>
        <w:rPr/>
        <w:t>No permissions needed</w:t>
      </w:r>
    </w:p>
    <w:p>
      <w:pPr>
        <w:pStyle w:val="Normal"/>
        <w:spacing w:lineRule="exact" w:line="360"/>
        <w:rPr/>
      </w:pPr>
      <w:r>
        <w:rPr>
          <w:rFonts w:cs="Times New Roman" w:ascii="Times New Roman" w:hAnsi="Times New Roman"/>
          <w:sz w:val="22"/>
        </w:rPr>
        <w:t xml:space="preserve">Taking advantage of the procedure for confirming </w:t>
      </w:r>
      <w:r>
        <w:rPr>
          <w:rFonts w:cs="Times New Roman" w:ascii="Times New Roman" w:hAnsi="Times New Roman"/>
          <w:sz w:val="22"/>
        </w:rPr>
        <w:t>the</w:t>
      </w:r>
      <w:r>
        <w:rPr>
          <w:rFonts w:cs="Times New Roman" w:ascii="Times New Roman" w:hAnsi="Times New Roman"/>
          <w:sz w:val="22"/>
        </w:rPr>
        <w:t xml:space="preserve"> application of laws to a planned business (no-action-letter system), Morgan Stanley Japan asked METI about the interpretation of </w:t>
      </w:r>
      <w:r>
        <w:rPr>
          <w:rFonts w:cs="Times New Roman" w:ascii="Times New Roman" w:hAnsi="Times New Roman"/>
          <w:sz w:val="22"/>
        </w:rPr>
        <w:t>the</w:t>
      </w:r>
      <w:r>
        <w:rPr>
          <w:rFonts w:cs="Times New Roman" w:ascii="Times New Roman" w:hAnsi="Times New Roman"/>
          <w:sz w:val="22"/>
        </w:rPr>
        <w:t xml:space="preserve"> Article 17 of the Electricity Utility Industry Law regarding the operations of marketers.  </w:t>
      </w:r>
      <w:r>
        <w:rPr>
          <w:rFonts w:cs="Times New Roman" w:ascii="Times New Roman" w:hAnsi="Times New Roman"/>
          <w:sz w:val="22"/>
        </w:rPr>
        <w:t>The</w:t>
      </w:r>
      <w:r>
        <w:rPr>
          <w:rFonts w:cs="Times New Roman" w:ascii="Times New Roman" w:hAnsi="Times New Roman"/>
          <w:sz w:val="22"/>
        </w:rPr>
        <w:t xml:space="preserve"> article, which lays out rules about power supply under special conditions, stipulates that an entity must obtain approval from </w:t>
      </w:r>
      <w:r>
        <w:rPr>
          <w:rFonts w:cs="Times New Roman" w:ascii="Times New Roman" w:hAnsi="Times New Roman"/>
          <w:sz w:val="22"/>
        </w:rPr>
        <w:t>the</w:t>
      </w:r>
      <w:r>
        <w:rPr>
          <w:rFonts w:cs="Times New Roman" w:ascii="Times New Roman" w:hAnsi="Times New Roman"/>
          <w:sz w:val="22"/>
        </w:rPr>
        <w:t xml:space="preserve"> </w:t>
      </w:r>
      <w:r>
        <w:rPr>
          <w:rFonts w:cs="Times New Roman" w:ascii="Times New Roman" w:hAnsi="Times New Roman"/>
          <w:sz w:val="22"/>
        </w:rPr>
        <w:t>Economy</w:t>
      </w:r>
      <w:r>
        <w:rPr>
          <w:rFonts w:cs="Times New Roman" w:ascii="Times New Roman" w:hAnsi="Times New Roman"/>
          <w:sz w:val="22"/>
        </w:rPr>
        <w:t xml:space="preserve">, Trade and Industry Minister when it runs a power </w:t>
      </w:r>
      <w:r>
        <w:rPr>
          <w:rFonts w:cs="Times New Roman" w:ascii="Times New Roman" w:hAnsi="Times New Roman"/>
          <w:sz w:val="22"/>
        </w:rPr>
        <w:t>supply</w:t>
      </w:r>
      <w:r>
        <w:rPr>
          <w:rFonts w:cs="Times New Roman" w:ascii="Times New Roman" w:hAnsi="Times New Roman"/>
          <w:sz w:val="22"/>
        </w:rPr>
        <w:t xml:space="preserve"> business, unless </w:t>
      </w:r>
      <w:r>
        <w:rPr>
          <w:rFonts w:cs="Times New Roman" w:ascii="Times New Roman" w:hAnsi="Times New Roman"/>
          <w:sz w:val="22"/>
        </w:rPr>
        <w:t>the</w:t>
      </w:r>
      <w:r>
        <w:rPr>
          <w:rFonts w:cs="Times New Roman" w:ascii="Times New Roman" w:hAnsi="Times New Roman"/>
          <w:sz w:val="22"/>
        </w:rPr>
        <w:t xml:space="preserve"> electricity supplied by the entity is used for </w:t>
      </w:r>
      <w:r>
        <w:rPr>
          <w:rFonts w:cs="Times New Roman" w:ascii="Times New Roman" w:hAnsi="Times New Roman"/>
          <w:sz w:val="22"/>
        </w:rPr>
        <w:t>the</w:t>
      </w:r>
      <w:r>
        <w:rPr>
          <w:rFonts w:cs="Times New Roman" w:ascii="Times New Roman" w:hAnsi="Times New Roman"/>
          <w:sz w:val="22"/>
        </w:rPr>
        <w:t xml:space="preserve"> businesses of </w:t>
      </w:r>
      <w:r>
        <w:rPr>
          <w:rFonts w:cs="Times New Roman" w:ascii="Times New Roman" w:hAnsi="Times New Roman"/>
          <w:sz w:val="22"/>
        </w:rPr>
        <w:t>general</w:t>
      </w:r>
      <w:r>
        <w:rPr>
          <w:rFonts w:cs="Times New Roman" w:ascii="Times New Roman" w:hAnsi="Times New Roman"/>
          <w:sz w:val="22"/>
        </w:rPr>
        <w:t xml:space="preserve"> electric power companies, special-purpose electric power </w:t>
      </w:r>
      <w:r>
        <w:rPr>
          <w:rFonts w:cs="Times New Roman" w:ascii="Times New Roman" w:hAnsi="Times New Roman"/>
          <w:sz w:val="22"/>
        </w:rPr>
        <w:t>companies</w:t>
      </w:r>
      <w:r>
        <w:rPr>
          <w:rFonts w:cs="Times New Roman" w:ascii="Times New Roman" w:hAnsi="Times New Roman"/>
          <w:sz w:val="22"/>
        </w:rPr>
        <w:t>, or independent power suppliers.</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METI judged in its answer document that no </w:t>
      </w:r>
      <w:r>
        <w:rPr>
          <w:rFonts w:cs="Times New Roman" w:ascii="Times New Roman" w:hAnsi="Times New Roman"/>
          <w:sz w:val="22"/>
        </w:rPr>
        <w:t>permissions</w:t>
      </w:r>
      <w:r>
        <w:rPr>
          <w:rFonts w:cs="Times New Roman" w:ascii="Times New Roman" w:hAnsi="Times New Roman"/>
          <w:sz w:val="22"/>
        </w:rPr>
        <w:t xml:space="preserve"> were necessary for marketers</w:t>
      </w:r>
      <w:r>
        <w:rPr>
          <w:rFonts w:cs="Times New Roman" w:ascii="Times New Roman" w:hAnsi="Times New Roman"/>
          <w:sz w:val="22"/>
        </w:rPr>
        <w:t>’</w:t>
      </w:r>
      <w:r>
        <w:rPr>
          <w:rFonts w:cs="Times New Roman" w:ascii="Times New Roman" w:hAnsi="Times New Roman"/>
          <w:sz w:val="22"/>
        </w:rPr>
        <w:t xml:space="preserve"> operations.  </w:t>
      </w:r>
      <w:r>
        <w:rPr>
          <w:rFonts w:cs="Times New Roman" w:ascii="Times New Roman" w:hAnsi="Times New Roman"/>
          <w:sz w:val="22"/>
        </w:rPr>
        <w:t>The</w:t>
      </w:r>
      <w:r>
        <w:rPr>
          <w:rFonts w:cs="Times New Roman" w:ascii="Times New Roman" w:hAnsi="Times New Roman"/>
          <w:sz w:val="22"/>
        </w:rPr>
        <w:t xml:space="preserve"> decision was made </w:t>
      </w:r>
      <w:r>
        <w:rPr>
          <w:rFonts w:cs="Times New Roman" w:ascii="Times New Roman" w:hAnsi="Times New Roman"/>
          <w:sz w:val="22"/>
        </w:rPr>
        <w:t>on ground that even</w:t>
      </w:r>
      <w:r>
        <w:rPr>
          <w:rFonts w:cs="Times New Roman" w:ascii="Times New Roman" w:hAnsi="Times New Roman"/>
          <w:sz w:val="22"/>
        </w:rPr>
        <w:t xml:space="preserve"> </w:t>
      </w:r>
      <w:r>
        <w:rPr>
          <w:rFonts w:cs="Times New Roman" w:ascii="Times New Roman" w:hAnsi="Times New Roman"/>
          <w:sz w:val="22"/>
        </w:rPr>
        <w:t>th</w:t>
      </w:r>
      <w:r>
        <w:rPr>
          <w:rFonts w:cs="Times New Roman" w:ascii="Times New Roman" w:hAnsi="Times New Roman"/>
          <w:sz w:val="22"/>
        </w:rPr>
        <w:t>ough the power marketing business defined by Morgan is aimed at providing electricity, electricity is provided to general and other kinds of electric power companies at the end.</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This is sufficient as an answer to </w:t>
      </w:r>
      <w:r>
        <w:rPr>
          <w:rFonts w:cs="Times New Roman" w:ascii="Times New Roman" w:hAnsi="Times New Roman"/>
          <w:sz w:val="22"/>
        </w:rPr>
        <w:t>the</w:t>
      </w:r>
      <w:r>
        <w:rPr>
          <w:rFonts w:cs="Times New Roman" w:ascii="Times New Roman" w:hAnsi="Times New Roman"/>
          <w:sz w:val="22"/>
        </w:rPr>
        <w:t xml:space="preserve"> inquiry from Morgan.  However, METI included in the answer document a supplement </w:t>
      </w:r>
      <w:r>
        <w:rPr>
          <w:rFonts w:cs="Times New Roman" w:ascii="Times New Roman" w:hAnsi="Times New Roman"/>
          <w:sz w:val="22"/>
        </w:rPr>
        <w:t>–</w:t>
      </w:r>
      <w:r>
        <w:rPr>
          <w:rFonts w:cs="Times New Roman" w:ascii="Times New Roman" w:hAnsi="Times New Roman"/>
          <w:sz w:val="22"/>
        </w:rPr>
        <w:t xml:space="preserve"> the interpretation of power </w:t>
      </w:r>
      <w:r>
        <w:rPr>
          <w:rFonts w:cs="Times New Roman" w:ascii="Times New Roman" w:hAnsi="Times New Roman"/>
          <w:sz w:val="22"/>
        </w:rPr>
        <w:t>marketers</w:t>
      </w:r>
      <w:r>
        <w:rPr>
          <w:rFonts w:cs="Times New Roman" w:ascii="Times New Roman" w:hAnsi="Times New Roman"/>
          <w:sz w:val="22"/>
        </w:rPr>
        <w:t xml:space="preserve">, sellers, and purchasers under the Electricity Utility Industry Law.  </w:t>
      </w:r>
      <w:r>
        <w:rPr>
          <w:rFonts w:cs="Times New Roman" w:ascii="Times New Roman" w:hAnsi="Times New Roman"/>
          <w:sz w:val="22"/>
        </w:rPr>
        <w:t>The</w:t>
      </w:r>
      <w:r>
        <w:rPr>
          <w:rFonts w:cs="Times New Roman" w:ascii="Times New Roman" w:hAnsi="Times New Roman"/>
          <w:sz w:val="22"/>
        </w:rPr>
        <w:t xml:space="preserve"> ministry concluded in the supplement that no new permissions or registrations were needed to sell or buy </w:t>
      </w:r>
      <w:r>
        <w:rPr>
          <w:rFonts w:cs="Times New Roman" w:ascii="Times New Roman" w:hAnsi="Times New Roman"/>
          <w:sz w:val="22"/>
        </w:rPr>
        <w:t>electricity</w:t>
      </w:r>
      <w:r>
        <w:rPr>
          <w:rFonts w:cs="Times New Roman" w:ascii="Times New Roman" w:hAnsi="Times New Roman"/>
          <w:sz w:val="22"/>
        </w:rPr>
        <w:t xml:space="preserve"> through marketers under forward agreements.  This is an official go-ahead on making forward agreements under </w:t>
      </w:r>
      <w:r>
        <w:rPr>
          <w:rFonts w:cs="Times New Roman" w:ascii="Times New Roman" w:hAnsi="Times New Roman"/>
          <w:sz w:val="22"/>
        </w:rPr>
        <w:t>the</w:t>
      </w:r>
      <w:r>
        <w:rPr>
          <w:rFonts w:cs="Times New Roman" w:ascii="Times New Roman" w:hAnsi="Times New Roman"/>
          <w:sz w:val="22"/>
        </w:rPr>
        <w:t xml:space="preserve"> current regulatory system.</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The</w:t>
      </w:r>
      <w:r>
        <w:rPr>
          <w:rFonts w:cs="Times New Roman" w:ascii="Times New Roman" w:hAnsi="Times New Roman"/>
          <w:sz w:val="22"/>
        </w:rPr>
        <w:t xml:space="preserve"> </w:t>
      </w:r>
      <w:r>
        <w:rPr>
          <w:rFonts w:cs="Times New Roman" w:ascii="Times New Roman" w:hAnsi="Times New Roman"/>
          <w:sz w:val="22"/>
        </w:rPr>
        <w:t>ministry’s</w:t>
      </w:r>
      <w:r>
        <w:rPr>
          <w:rFonts w:cs="Times New Roman" w:ascii="Times New Roman" w:hAnsi="Times New Roman"/>
          <w:sz w:val="22"/>
        </w:rPr>
        <w:t xml:space="preserve"> answer is expected to activate electricity trading.  Among the expected players in the market are (1) general electric power companies, independent power suppliers, and the owners of onsite power generators, which </w:t>
      </w:r>
      <w:r>
        <w:rPr>
          <w:rFonts w:cs="Times New Roman" w:ascii="Times New Roman" w:hAnsi="Times New Roman"/>
          <w:sz w:val="22"/>
        </w:rPr>
        <w:t>would</w:t>
      </w:r>
      <w:r>
        <w:rPr>
          <w:rFonts w:cs="Times New Roman" w:ascii="Times New Roman" w:hAnsi="Times New Roman"/>
          <w:sz w:val="22"/>
        </w:rPr>
        <w:t xml:space="preserve"> sell </w:t>
      </w:r>
      <w:r>
        <w:rPr>
          <w:rFonts w:cs="Times New Roman" w:ascii="Times New Roman" w:hAnsi="Times New Roman"/>
          <w:sz w:val="22"/>
        </w:rPr>
        <w:t>electricity</w:t>
      </w:r>
      <w:r>
        <w:rPr>
          <w:rFonts w:cs="Times New Roman" w:ascii="Times New Roman" w:hAnsi="Times New Roman"/>
          <w:sz w:val="22"/>
        </w:rPr>
        <w:t xml:space="preserve"> or buy it for retailing on </w:t>
      </w:r>
      <w:r>
        <w:rPr>
          <w:rFonts w:cs="Times New Roman" w:ascii="Times New Roman" w:hAnsi="Times New Roman"/>
          <w:sz w:val="22"/>
        </w:rPr>
        <w:t>the</w:t>
      </w:r>
      <w:r>
        <w:rPr>
          <w:rFonts w:cs="Times New Roman" w:ascii="Times New Roman" w:hAnsi="Times New Roman"/>
          <w:sz w:val="22"/>
        </w:rPr>
        <w:t xml:space="preserve"> market; (2) marketers such as Morgan, </w:t>
      </w:r>
      <w:r>
        <w:rPr>
          <w:rFonts w:cs="Times New Roman" w:ascii="Times New Roman" w:hAnsi="Times New Roman"/>
          <w:sz w:val="22"/>
        </w:rPr>
        <w:t>Enron</w:t>
      </w:r>
      <w:r>
        <w:rPr>
          <w:rFonts w:cs="Times New Roman" w:ascii="Times New Roman" w:hAnsi="Times New Roman"/>
          <w:sz w:val="22"/>
        </w:rPr>
        <w:t xml:space="preserve"> Japan, Shell Gas and Power Japan, and trading houses, which are likely to act as marketers in the future; and (3) brokers that go between sellers and buyers, such as Natsource and Prebon.</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Some players took quick action on the market.  Before METI released its opinions, prices related to peak-hour electricity for </w:t>
      </w:r>
      <w:r>
        <w:rPr>
          <w:rFonts w:cs="Times New Roman" w:ascii="Times New Roman" w:hAnsi="Times New Roman"/>
          <w:sz w:val="22"/>
        </w:rPr>
        <w:t>FY2002 and beyond had already been presented to concerned parties.  Morgan, the</w:t>
      </w:r>
      <w:r>
        <w:rPr>
          <w:rFonts w:cs="Times New Roman" w:ascii="Times New Roman" w:hAnsi="Times New Roman"/>
          <w:sz w:val="22"/>
        </w:rPr>
        <w:t xml:space="preserve"> submitter of </w:t>
      </w:r>
      <w:r>
        <w:rPr>
          <w:rFonts w:cs="Times New Roman" w:ascii="Times New Roman" w:hAnsi="Times New Roman"/>
          <w:sz w:val="22"/>
        </w:rPr>
        <w:t>the</w:t>
      </w:r>
      <w:r>
        <w:rPr>
          <w:rFonts w:cs="Times New Roman" w:ascii="Times New Roman" w:hAnsi="Times New Roman"/>
          <w:sz w:val="22"/>
        </w:rPr>
        <w:t xml:space="preserve"> inquiry,</w:t>
      </w:r>
      <w:r>
        <w:rPr>
          <w:rFonts w:cs="Times New Roman" w:ascii="Times New Roman" w:hAnsi="Times New Roman"/>
          <w:sz w:val="22"/>
        </w:rPr>
        <w:t xml:space="preserve"> </w:t>
      </w:r>
      <w:r>
        <w:rPr>
          <w:rFonts w:cs="Times New Roman" w:ascii="Times New Roman" w:hAnsi="Times New Roman"/>
          <w:sz w:val="22"/>
        </w:rPr>
        <w:t xml:space="preserve">is </w:t>
      </w:r>
      <w:r>
        <w:rPr>
          <w:rFonts w:cs="Times New Roman" w:ascii="Times New Roman" w:hAnsi="Times New Roman"/>
          <w:sz w:val="22"/>
        </w:rPr>
        <w:t>drawin</w:t>
      </w:r>
      <w:r>
        <w:rPr>
          <w:rFonts w:cs="Times New Roman" w:ascii="Times New Roman" w:hAnsi="Times New Roman"/>
          <w:sz w:val="22"/>
        </w:rPr>
        <w:t>g</w:t>
      </w:r>
      <w:r>
        <w:rPr>
          <w:rFonts w:cs="Times New Roman" w:ascii="Times New Roman" w:hAnsi="Times New Roman"/>
          <w:sz w:val="22"/>
        </w:rPr>
        <w:t xml:space="preserve"> </w:t>
      </w:r>
      <w:r>
        <w:rPr>
          <w:rFonts w:cs="Times New Roman" w:ascii="Times New Roman" w:hAnsi="Times New Roman"/>
          <w:sz w:val="22"/>
        </w:rPr>
        <w:t xml:space="preserve">special </w:t>
      </w:r>
      <w:r>
        <w:rPr>
          <w:rFonts w:cs="Times New Roman" w:ascii="Times New Roman" w:hAnsi="Times New Roman"/>
          <w:sz w:val="22"/>
        </w:rPr>
        <w:t>attention</w:t>
      </w:r>
      <w:r>
        <w:rPr>
          <w:rFonts w:cs="Times New Roman" w:ascii="Times New Roman" w:hAnsi="Times New Roman"/>
          <w:sz w:val="22"/>
        </w:rPr>
        <w:t xml:space="preserve">.  The </w:t>
      </w:r>
      <w:r>
        <w:rPr>
          <w:rFonts w:cs="Times New Roman" w:ascii="Times New Roman" w:hAnsi="Times New Roman"/>
          <w:sz w:val="22"/>
        </w:rPr>
        <w:t>company</w:t>
      </w:r>
      <w:r>
        <w:rPr>
          <w:rFonts w:cs="Times New Roman" w:ascii="Times New Roman" w:hAnsi="Times New Roman"/>
          <w:sz w:val="22"/>
        </w:rPr>
        <w:t xml:space="preserve"> seems to be positive about establishing quoting prices.  S</w:t>
      </w:r>
      <w:r>
        <w:rPr>
          <w:rFonts w:cs="Times New Roman" w:ascii="Times New Roman" w:hAnsi="Times New Roman"/>
          <w:sz w:val="22"/>
        </w:rPr>
        <w:t>ources</w:t>
      </w:r>
      <w:r>
        <w:rPr>
          <w:rFonts w:cs="Times New Roman" w:ascii="Times New Roman" w:hAnsi="Times New Roman"/>
          <w:sz w:val="22"/>
        </w:rPr>
        <w:t xml:space="preserve"> say independent power suppliers are also offering prices.  Quoting prices are gradually being formed. </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Heading3"/>
        <w:spacing w:lineRule="exact" w:line="360"/>
        <w:ind w:hanging="0" w:start="0"/>
        <w:rPr/>
      </w:pPr>
      <w:r>
        <w:rPr/>
        <w:t>An ironical result</w:t>
      </w:r>
    </w:p>
    <w:p>
      <w:pPr>
        <w:pStyle w:val="Normal"/>
        <w:spacing w:lineRule="exact" w:line="360"/>
        <w:rPr/>
      </w:pPr>
      <w:r>
        <w:rPr>
          <w:rFonts w:cs="Times New Roman" w:ascii="Times New Roman" w:hAnsi="Times New Roman"/>
          <w:sz w:val="22"/>
        </w:rPr>
        <w:t xml:space="preserve">Meanwhile, three months have passed since July, when </w:t>
      </w:r>
      <w:r>
        <w:rPr>
          <w:rFonts w:cs="Times New Roman" w:ascii="Times New Roman" w:hAnsi="Times New Roman"/>
          <w:sz w:val="22"/>
        </w:rPr>
        <w:t xml:space="preserve">a price was offered </w:t>
      </w:r>
      <w:r>
        <w:rPr>
          <w:rFonts w:cs="Times New Roman" w:ascii="Times New Roman" w:hAnsi="Times New Roman"/>
          <w:sz w:val="22"/>
        </w:rPr>
        <w:t xml:space="preserve">for the first time </w:t>
      </w:r>
      <w:r>
        <w:rPr>
          <w:rFonts w:cs="Times New Roman" w:ascii="Times New Roman" w:hAnsi="Times New Roman"/>
          <w:sz w:val="22"/>
        </w:rPr>
        <w:t xml:space="preserve">for </w:t>
      </w:r>
      <w:r>
        <w:rPr>
          <w:rFonts w:cs="Times New Roman" w:ascii="Times New Roman" w:hAnsi="Times New Roman"/>
          <w:sz w:val="22"/>
        </w:rPr>
        <w:t xml:space="preserve">FY2002 </w:t>
      </w:r>
      <w:r>
        <w:rPr>
          <w:rFonts w:cs="Times New Roman" w:ascii="Times New Roman" w:hAnsi="Times New Roman"/>
          <w:sz w:val="22"/>
        </w:rPr>
        <w:t>contract</w:t>
      </w:r>
      <w:r>
        <w:rPr>
          <w:rFonts w:cs="Times New Roman" w:ascii="Times New Roman" w:hAnsi="Times New Roman"/>
          <w:sz w:val="22"/>
        </w:rPr>
        <w:t xml:space="preserve">s.  However, the fact </w:t>
      </w:r>
      <w:r>
        <w:rPr>
          <w:rFonts w:cs="Times New Roman" w:ascii="Times New Roman" w:hAnsi="Times New Roman"/>
          <w:sz w:val="22"/>
        </w:rPr>
        <w:t>that</w:t>
      </w:r>
      <w:r>
        <w:rPr>
          <w:rFonts w:cs="Times New Roman" w:ascii="Times New Roman" w:hAnsi="Times New Roman"/>
          <w:sz w:val="22"/>
        </w:rPr>
        <w:t xml:space="preserve"> no transaction has been made so far implies that forward agreements will not easily become common in this industry.</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Among the offers that were made so far, buy orders were placed first for near-term contracts.  </w:t>
      </w:r>
      <w:r>
        <w:rPr>
          <w:rFonts w:cs="Times New Roman" w:ascii="Times New Roman" w:hAnsi="Times New Roman"/>
          <w:sz w:val="22"/>
        </w:rPr>
        <w:t>This</w:t>
      </w:r>
      <w:r>
        <w:rPr>
          <w:rFonts w:cs="Times New Roman" w:ascii="Times New Roman" w:hAnsi="Times New Roman"/>
          <w:sz w:val="22"/>
        </w:rPr>
        <w:t xml:space="preserve"> is natural because the procurement of </w:t>
      </w:r>
      <w:r>
        <w:rPr>
          <w:rFonts w:cs="Times New Roman" w:ascii="Times New Roman" w:hAnsi="Times New Roman"/>
          <w:sz w:val="22"/>
        </w:rPr>
        <w:t>electricity</w:t>
      </w:r>
      <w:r>
        <w:rPr>
          <w:rFonts w:cs="Times New Roman" w:ascii="Times New Roman" w:hAnsi="Times New Roman"/>
          <w:sz w:val="22"/>
        </w:rPr>
        <w:t xml:space="preserve"> is </w:t>
      </w:r>
      <w:r>
        <w:rPr>
          <w:rFonts w:cs="Times New Roman" w:ascii="Times New Roman" w:hAnsi="Times New Roman"/>
          <w:sz w:val="22"/>
        </w:rPr>
        <w:t>the</w:t>
      </w:r>
      <w:r>
        <w:rPr>
          <w:rFonts w:cs="Times New Roman" w:ascii="Times New Roman" w:hAnsi="Times New Roman"/>
          <w:sz w:val="22"/>
        </w:rPr>
        <w:t xml:space="preserve"> most important task for independent power suppliers, which newly launched electricity businesses.  No one has responded to </w:t>
      </w:r>
      <w:r>
        <w:rPr>
          <w:rFonts w:cs="Times New Roman" w:ascii="Times New Roman" w:hAnsi="Times New Roman"/>
          <w:sz w:val="22"/>
        </w:rPr>
        <w:t>the</w:t>
      </w:r>
      <w:r>
        <w:rPr>
          <w:rFonts w:cs="Times New Roman" w:ascii="Times New Roman" w:hAnsi="Times New Roman"/>
          <w:sz w:val="22"/>
        </w:rPr>
        <w:t xml:space="preserve"> buy orders even though the purchase price was raised, and ironically, the fact proves difficulty in power procurement better than anything else does.</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Electric power companies, independent power suppliers, and </w:t>
      </w:r>
      <w:r>
        <w:rPr>
          <w:rFonts w:cs="Times New Roman" w:ascii="Times New Roman" w:hAnsi="Times New Roman"/>
          <w:sz w:val="22"/>
        </w:rPr>
        <w:t>the</w:t>
      </w:r>
      <w:r>
        <w:rPr>
          <w:rFonts w:cs="Times New Roman" w:ascii="Times New Roman" w:hAnsi="Times New Roman"/>
          <w:sz w:val="22"/>
        </w:rPr>
        <w:t xml:space="preserve"> owners of onsite power plants are the parties </w:t>
      </w:r>
      <w:r>
        <w:rPr>
          <w:rFonts w:cs="Times New Roman" w:ascii="Times New Roman" w:hAnsi="Times New Roman"/>
          <w:sz w:val="22"/>
        </w:rPr>
        <w:t xml:space="preserve">expected to sell electricity in response to buy orders.  </w:t>
      </w:r>
      <w:r>
        <w:rPr>
          <w:rFonts w:cs="Times New Roman" w:ascii="Times New Roman" w:hAnsi="Times New Roman"/>
          <w:sz w:val="22"/>
        </w:rPr>
        <w:t xml:space="preserve">Among them, </w:t>
      </w:r>
      <w:r>
        <w:rPr>
          <w:rFonts w:cs="Times New Roman" w:ascii="Times New Roman" w:hAnsi="Times New Roman"/>
          <w:sz w:val="22"/>
        </w:rPr>
        <w:t>the</w:t>
      </w:r>
      <w:r>
        <w:rPr>
          <w:rFonts w:cs="Times New Roman" w:ascii="Times New Roman" w:hAnsi="Times New Roman"/>
          <w:sz w:val="22"/>
        </w:rPr>
        <w:t xml:space="preserve"> owners of onsite power generators are most </w:t>
      </w:r>
      <w:r>
        <w:rPr>
          <w:rFonts w:cs="Times New Roman" w:ascii="Times New Roman" w:hAnsi="Times New Roman"/>
          <w:sz w:val="22"/>
        </w:rPr>
        <w:t xml:space="preserve">likely </w:t>
      </w:r>
      <w:r>
        <w:rPr>
          <w:rFonts w:cs="Times New Roman" w:ascii="Times New Roman" w:hAnsi="Times New Roman"/>
          <w:sz w:val="22"/>
        </w:rPr>
        <w:t>to sell electricity under near-term contracts.</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Morgan says, </w:t>
      </w:r>
      <w:r>
        <w:rPr>
          <w:rFonts w:cs="Times New Roman" w:ascii="Times New Roman" w:hAnsi="Times New Roman"/>
          <w:sz w:val="22"/>
        </w:rPr>
        <w:t>“</w:t>
      </w:r>
      <w:r>
        <w:rPr>
          <w:rFonts w:cs="Times New Roman" w:ascii="Times New Roman" w:hAnsi="Times New Roman"/>
          <w:sz w:val="22"/>
        </w:rPr>
        <w:t xml:space="preserve">the owners of onsite generators are never negative about </w:t>
      </w:r>
      <w:r>
        <w:rPr>
          <w:rFonts w:cs="Times New Roman" w:ascii="Times New Roman" w:hAnsi="Times New Roman"/>
          <w:sz w:val="22"/>
        </w:rPr>
        <w:t>this</w:t>
      </w:r>
      <w:r>
        <w:rPr>
          <w:rFonts w:cs="Times New Roman" w:ascii="Times New Roman" w:hAnsi="Times New Roman"/>
          <w:sz w:val="22"/>
        </w:rPr>
        <w:t xml:space="preserve"> type of </w:t>
      </w:r>
      <w:r>
        <w:rPr>
          <w:rFonts w:cs="Times New Roman" w:ascii="Times New Roman" w:hAnsi="Times New Roman"/>
          <w:sz w:val="22"/>
        </w:rPr>
        <w:t>trading</w:t>
      </w:r>
      <w:r>
        <w:rPr>
          <w:rFonts w:cs="Times New Roman" w:ascii="Times New Roman" w:hAnsi="Times New Roman"/>
          <w:sz w:val="22"/>
        </w:rPr>
        <w:t xml:space="preserve">.  </w:t>
      </w:r>
      <w:r>
        <w:rPr>
          <w:rFonts w:cs="Times New Roman" w:ascii="Times New Roman" w:hAnsi="Times New Roman"/>
          <w:sz w:val="22"/>
        </w:rPr>
        <w:t>The</w:t>
      </w:r>
      <w:r>
        <w:rPr>
          <w:rFonts w:cs="Times New Roman" w:ascii="Times New Roman" w:hAnsi="Times New Roman"/>
          <w:sz w:val="22"/>
        </w:rPr>
        <w:t>y regard it as one of options.</w:t>
      </w: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rPr>
        <w:t>The</w:t>
      </w:r>
      <w:r>
        <w:rPr>
          <w:rFonts w:cs="Times New Roman" w:ascii="Times New Roman" w:hAnsi="Times New Roman"/>
          <w:sz w:val="22"/>
        </w:rPr>
        <w:t xml:space="preserve"> </w:t>
      </w:r>
      <w:r>
        <w:rPr>
          <w:rFonts w:cs="Times New Roman" w:ascii="Times New Roman" w:hAnsi="Times New Roman"/>
          <w:sz w:val="22"/>
        </w:rPr>
        <w:t>company</w:t>
      </w:r>
      <w:r>
        <w:rPr>
          <w:rFonts w:cs="Times New Roman" w:ascii="Times New Roman" w:hAnsi="Times New Roman"/>
          <w:sz w:val="22"/>
        </w:rPr>
        <w:t xml:space="preserve"> predicts </w:t>
      </w:r>
      <w:r>
        <w:rPr>
          <w:rFonts w:cs="Times New Roman" w:ascii="Times New Roman" w:hAnsi="Times New Roman"/>
          <w:sz w:val="22"/>
        </w:rPr>
        <w:t>that</w:t>
      </w:r>
      <w:r>
        <w:rPr>
          <w:rFonts w:cs="Times New Roman" w:ascii="Times New Roman" w:hAnsi="Times New Roman"/>
          <w:sz w:val="22"/>
        </w:rPr>
        <w:t xml:space="preserve"> </w:t>
      </w:r>
      <w:r>
        <w:rPr>
          <w:rFonts w:cs="Times New Roman" w:ascii="Times New Roman" w:hAnsi="Times New Roman"/>
          <w:sz w:val="22"/>
        </w:rPr>
        <w:t>the</w:t>
      </w:r>
      <w:r>
        <w:rPr>
          <w:rFonts w:cs="Times New Roman" w:ascii="Times New Roman" w:hAnsi="Times New Roman"/>
          <w:sz w:val="22"/>
        </w:rPr>
        <w:t xml:space="preserve"> </w:t>
      </w:r>
      <w:r>
        <w:rPr>
          <w:rFonts w:cs="Times New Roman" w:ascii="Times New Roman" w:hAnsi="Times New Roman"/>
          <w:sz w:val="22"/>
        </w:rPr>
        <w:t>surplus</w:t>
      </w:r>
      <w:r>
        <w:rPr>
          <w:rFonts w:cs="Times New Roman" w:ascii="Times New Roman" w:hAnsi="Times New Roman"/>
          <w:sz w:val="22"/>
        </w:rPr>
        <w:t xml:space="preserve"> of electricity generated by onsite </w:t>
      </w:r>
      <w:r>
        <w:rPr>
          <w:rFonts w:cs="Times New Roman" w:ascii="Times New Roman" w:hAnsi="Times New Roman"/>
          <w:sz w:val="22"/>
        </w:rPr>
        <w:t>facilities</w:t>
      </w:r>
      <w:r>
        <w:rPr>
          <w:rFonts w:cs="Times New Roman" w:ascii="Times New Roman" w:hAnsi="Times New Roman"/>
          <w:sz w:val="22"/>
        </w:rPr>
        <w:t xml:space="preserve">, currently sold to electric power </w:t>
      </w:r>
      <w:r>
        <w:rPr>
          <w:rFonts w:cs="Times New Roman" w:ascii="Times New Roman" w:hAnsi="Times New Roman"/>
          <w:sz w:val="22"/>
        </w:rPr>
        <w:t>companies</w:t>
      </w:r>
      <w:r>
        <w:rPr>
          <w:rFonts w:cs="Times New Roman" w:ascii="Times New Roman" w:hAnsi="Times New Roman"/>
          <w:sz w:val="22"/>
        </w:rPr>
        <w:t>, may be put on the market depending on conditions.</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u w:val="single"/>
        </w:rPr>
        <w:t>The</w:t>
      </w:r>
      <w:r>
        <w:rPr>
          <w:rFonts w:cs="Times New Roman" w:ascii="Times New Roman" w:hAnsi="Times New Roman"/>
          <w:sz w:val="22"/>
          <w:u w:val="single"/>
        </w:rPr>
        <w:t xml:space="preserve"> way to forming </w:t>
      </w:r>
      <w:r>
        <w:rPr>
          <w:rFonts w:cs="Times New Roman" w:ascii="Times New Roman" w:hAnsi="Times New Roman"/>
          <w:sz w:val="22"/>
          <w:u w:val="single"/>
        </w:rPr>
        <w:t>the</w:t>
      </w:r>
      <w:r>
        <w:rPr>
          <w:rFonts w:cs="Times New Roman" w:ascii="Times New Roman" w:hAnsi="Times New Roman"/>
          <w:sz w:val="22"/>
          <w:u w:val="single"/>
        </w:rPr>
        <w:t xml:space="preserve"> market will be visible after an agreement is made</w:t>
      </w:r>
    </w:p>
    <w:p>
      <w:pPr>
        <w:pStyle w:val="Normal"/>
        <w:spacing w:lineRule="exact" w:line="360"/>
        <w:rPr>
          <w:rFonts w:ascii="Times New Roman" w:hAnsi="Times New Roman" w:cs="Times New Roman"/>
          <w:sz w:val="22"/>
        </w:rPr>
      </w:pPr>
      <w:r>
        <w:rPr>
          <w:rFonts w:cs="Times New Roman" w:ascii="Times New Roman" w:hAnsi="Times New Roman"/>
          <w:sz w:val="22"/>
        </w:rPr>
        <w:t xml:space="preserve">However, for the owners of onsite generators, risk may </w:t>
      </w:r>
      <w:r>
        <w:rPr>
          <w:rFonts w:cs="Times New Roman" w:ascii="Times New Roman" w:hAnsi="Times New Roman"/>
          <w:sz w:val="22"/>
        </w:rPr>
        <w:t>increase</w:t>
      </w:r>
      <w:r>
        <w:rPr>
          <w:rFonts w:cs="Times New Roman" w:ascii="Times New Roman" w:hAnsi="Times New Roman"/>
          <w:sz w:val="22"/>
        </w:rPr>
        <w:t xml:space="preserve"> even if </w:t>
      </w:r>
      <w:r>
        <w:rPr>
          <w:rFonts w:cs="Times New Roman" w:ascii="Times New Roman" w:hAnsi="Times New Roman"/>
          <w:sz w:val="22"/>
        </w:rPr>
        <w:t>they</w:t>
      </w:r>
      <w:r>
        <w:rPr>
          <w:rFonts w:cs="Times New Roman" w:ascii="Times New Roman" w:hAnsi="Times New Roman"/>
          <w:sz w:val="22"/>
        </w:rPr>
        <w:t xml:space="preserve"> can sell electricity under favorable conditions in FY2002 if </w:t>
      </w:r>
      <w:r>
        <w:rPr>
          <w:rFonts w:cs="Times New Roman" w:ascii="Times New Roman" w:hAnsi="Times New Roman"/>
          <w:sz w:val="22"/>
        </w:rPr>
        <w:t>they</w:t>
      </w:r>
      <w:r>
        <w:rPr>
          <w:rFonts w:cs="Times New Roman" w:ascii="Times New Roman" w:hAnsi="Times New Roman"/>
          <w:sz w:val="22"/>
        </w:rPr>
        <w:t xml:space="preserve"> do not know conditions for FY2003 and subsequent years.  Marketers consider alleviating </w:t>
      </w:r>
      <w:r>
        <w:rPr>
          <w:rFonts w:cs="Times New Roman" w:ascii="Times New Roman" w:hAnsi="Times New Roman"/>
          <w:sz w:val="22"/>
        </w:rPr>
        <w:t>the</w:t>
      </w:r>
      <w:r>
        <w:rPr>
          <w:rFonts w:cs="Times New Roman" w:ascii="Times New Roman" w:hAnsi="Times New Roman"/>
          <w:sz w:val="22"/>
        </w:rPr>
        <w:t xml:space="preserve"> risk by making multiple-year contracts.  But an independent power </w:t>
      </w:r>
      <w:r>
        <w:rPr>
          <w:rFonts w:cs="Times New Roman" w:ascii="Times New Roman" w:hAnsi="Times New Roman"/>
          <w:sz w:val="22"/>
        </w:rPr>
        <w:t>supplier</w:t>
      </w:r>
      <w:r>
        <w:rPr>
          <w:rFonts w:cs="Times New Roman" w:ascii="Times New Roman" w:hAnsi="Times New Roman"/>
          <w:sz w:val="22"/>
        </w:rPr>
        <w:t xml:space="preserve"> is a little skeptical. </w:t>
      </w:r>
      <w:r>
        <w:rPr>
          <w:rFonts w:cs="Times New Roman" w:ascii="Times New Roman" w:hAnsi="Times New Roman"/>
          <w:sz w:val="22"/>
        </w:rPr>
        <w:t>“</w:t>
      </w:r>
      <w:r>
        <w:rPr>
          <w:rFonts w:cs="Times New Roman" w:ascii="Times New Roman" w:hAnsi="Times New Roman"/>
          <w:sz w:val="22"/>
        </w:rPr>
        <w:t xml:space="preserve">We have struggled to find a surplus of </w:t>
      </w:r>
      <w:r>
        <w:rPr>
          <w:rFonts w:cs="Times New Roman" w:ascii="Times New Roman" w:hAnsi="Times New Roman"/>
          <w:sz w:val="22"/>
        </w:rPr>
        <w:t>electricity</w:t>
      </w:r>
      <w:r>
        <w:rPr>
          <w:rFonts w:cs="Times New Roman" w:ascii="Times New Roman" w:hAnsi="Times New Roman"/>
          <w:sz w:val="22"/>
        </w:rPr>
        <w:t xml:space="preserve"> generated at onsite </w:t>
      </w:r>
      <w:r>
        <w:rPr>
          <w:rFonts w:cs="Times New Roman" w:ascii="Times New Roman" w:hAnsi="Times New Roman"/>
          <w:sz w:val="22"/>
        </w:rPr>
        <w:t>facilities</w:t>
      </w:r>
      <w:r>
        <w:rPr>
          <w:rFonts w:cs="Times New Roman" w:ascii="Times New Roman" w:hAnsi="Times New Roman"/>
          <w:sz w:val="22"/>
        </w:rPr>
        <w:t xml:space="preserve">, but </w:t>
      </w:r>
      <w:r>
        <w:rPr>
          <w:rFonts w:cs="Times New Roman" w:ascii="Times New Roman" w:hAnsi="Times New Roman"/>
          <w:sz w:val="22"/>
        </w:rPr>
        <w:t xml:space="preserve">few owners wanted to sell it.  </w:t>
      </w:r>
      <w:r>
        <w:rPr>
          <w:rFonts w:cs="Times New Roman" w:ascii="Times New Roman" w:hAnsi="Times New Roman"/>
          <w:sz w:val="22"/>
        </w:rPr>
        <w:t>Will anyone be able to easily find power to be sold on the market?</w:t>
      </w:r>
      <w:r>
        <w:rPr>
          <w:rFonts w:cs="Times New Roman" w:ascii="Times New Roman" w:hAnsi="Times New Roman"/>
          <w:sz w:val="22"/>
        </w:rPr>
        <w:t>”</w:t>
      </w:r>
      <w:r>
        <w:rPr>
          <w:rFonts w:cs="Times New Roman" w:ascii="Times New Roman" w:hAnsi="Times New Roman"/>
          <w:sz w:val="22"/>
        </w:rPr>
        <w:t xml:space="preserve">  Some people in </w:t>
      </w:r>
      <w:r>
        <w:rPr>
          <w:rFonts w:cs="Times New Roman" w:ascii="Times New Roman" w:hAnsi="Times New Roman"/>
          <w:sz w:val="22"/>
        </w:rPr>
        <w:t>the</w:t>
      </w:r>
      <w:r>
        <w:rPr>
          <w:rFonts w:cs="Times New Roman" w:ascii="Times New Roman" w:hAnsi="Times New Roman"/>
          <w:sz w:val="22"/>
        </w:rPr>
        <w:t xml:space="preserve"> industry insist, </w:t>
      </w:r>
      <w:r>
        <w:rPr>
          <w:rFonts w:cs="Times New Roman" w:ascii="Times New Roman" w:hAnsi="Times New Roman"/>
          <w:sz w:val="22"/>
        </w:rPr>
        <w:t>“</w:t>
      </w:r>
      <w:r>
        <w:rPr>
          <w:rFonts w:cs="Times New Roman" w:ascii="Times New Roman" w:hAnsi="Times New Roman"/>
          <w:sz w:val="22"/>
        </w:rPr>
        <w:t>we should establish a marketplace after implementing a system to promote power plant construction.</w:t>
      </w:r>
      <w:r>
        <w:rPr>
          <w:rFonts w:cs="Times New Roman" w:ascii="Times New Roman" w:hAnsi="Times New Roman"/>
          <w:sz w:val="22"/>
        </w:rPr>
        <w:t>”</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No new permissions and </w:t>
      </w:r>
      <w:r>
        <w:rPr>
          <w:rFonts w:cs="Times New Roman" w:ascii="Times New Roman" w:hAnsi="Times New Roman"/>
          <w:sz w:val="22"/>
        </w:rPr>
        <w:t>registrations</w:t>
      </w:r>
      <w:r>
        <w:rPr>
          <w:rFonts w:cs="Times New Roman" w:ascii="Times New Roman" w:hAnsi="Times New Roman"/>
          <w:sz w:val="22"/>
        </w:rPr>
        <w:t xml:space="preserve"> are required to make </w:t>
      </w:r>
      <w:r>
        <w:rPr>
          <w:rFonts w:cs="Times New Roman" w:ascii="Times New Roman" w:hAnsi="Times New Roman"/>
          <w:sz w:val="22"/>
        </w:rPr>
        <w:t>forward</w:t>
      </w:r>
      <w:r>
        <w:rPr>
          <w:rFonts w:cs="Times New Roman" w:ascii="Times New Roman" w:hAnsi="Times New Roman"/>
          <w:sz w:val="22"/>
        </w:rPr>
        <w:t xml:space="preserve"> agreements under </w:t>
      </w:r>
      <w:r>
        <w:rPr>
          <w:rFonts w:cs="Times New Roman" w:ascii="Times New Roman" w:hAnsi="Times New Roman"/>
          <w:sz w:val="22"/>
        </w:rPr>
        <w:t>the</w:t>
      </w:r>
      <w:r>
        <w:rPr>
          <w:rFonts w:cs="Times New Roman" w:ascii="Times New Roman" w:hAnsi="Times New Roman"/>
          <w:sz w:val="22"/>
        </w:rPr>
        <w:t xml:space="preserve"> current regulatory system.  But when an independent power supplier signs a contract with the owner of a power plant through a marketer, the supplier must report </w:t>
      </w:r>
      <w:r>
        <w:rPr>
          <w:rFonts w:cs="Times New Roman" w:ascii="Times New Roman" w:hAnsi="Times New Roman"/>
          <w:sz w:val="22"/>
        </w:rPr>
        <w:t>the</w:t>
      </w:r>
      <w:r>
        <w:rPr>
          <w:rFonts w:cs="Times New Roman" w:ascii="Times New Roman" w:hAnsi="Times New Roman"/>
          <w:sz w:val="22"/>
        </w:rPr>
        <w:t xml:space="preserve"> plant under the contract to METI.  Considering </w:t>
      </w:r>
      <w:r>
        <w:rPr>
          <w:rFonts w:cs="Times New Roman" w:ascii="Times New Roman" w:hAnsi="Times New Roman"/>
          <w:sz w:val="22"/>
        </w:rPr>
        <w:t>the</w:t>
      </w:r>
      <w:r>
        <w:rPr>
          <w:rFonts w:cs="Times New Roman" w:ascii="Times New Roman" w:hAnsi="Times New Roman"/>
          <w:sz w:val="22"/>
        </w:rPr>
        <w:t xml:space="preserve"> time period necessary for the procedure, </w:t>
      </w:r>
      <w:r>
        <w:rPr>
          <w:rFonts w:cs="Times New Roman" w:ascii="Times New Roman" w:hAnsi="Times New Roman"/>
          <w:sz w:val="22"/>
        </w:rPr>
        <w:t>the</w:t>
      </w:r>
      <w:r>
        <w:rPr>
          <w:rFonts w:cs="Times New Roman" w:ascii="Times New Roman" w:hAnsi="Times New Roman"/>
          <w:sz w:val="22"/>
        </w:rPr>
        <w:t xml:space="preserve"> time limit for forward agreements for </w:t>
      </w:r>
      <w:r>
        <w:rPr>
          <w:rFonts w:cs="Times New Roman" w:ascii="Times New Roman" w:hAnsi="Times New Roman"/>
          <w:sz w:val="22"/>
        </w:rPr>
        <w:t>the</w:t>
      </w:r>
      <w:r>
        <w:rPr>
          <w:rFonts w:cs="Times New Roman" w:ascii="Times New Roman" w:hAnsi="Times New Roman"/>
          <w:sz w:val="22"/>
        </w:rPr>
        <w:t xml:space="preserve"> next fiscal year is the end of 2001.  With only two months left, some industry </w:t>
      </w:r>
      <w:r>
        <w:rPr>
          <w:rFonts w:cs="Times New Roman" w:ascii="Times New Roman" w:hAnsi="Times New Roman"/>
          <w:sz w:val="22"/>
        </w:rPr>
        <w:t>watchers</w:t>
      </w:r>
      <w:r>
        <w:rPr>
          <w:rFonts w:cs="Times New Roman" w:ascii="Times New Roman" w:hAnsi="Times New Roman"/>
          <w:sz w:val="22"/>
        </w:rPr>
        <w:t xml:space="preserve"> have begun to predict </w:t>
      </w:r>
      <w:r>
        <w:rPr>
          <w:rFonts w:cs="Times New Roman" w:ascii="Times New Roman" w:hAnsi="Times New Roman"/>
          <w:sz w:val="22"/>
        </w:rPr>
        <w:t>that</w:t>
      </w:r>
      <w:r>
        <w:rPr>
          <w:rFonts w:cs="Times New Roman" w:ascii="Times New Roman" w:hAnsi="Times New Roman"/>
          <w:sz w:val="22"/>
        </w:rPr>
        <w:t xml:space="preserve"> no agreement will be made for FY2002.</w:t>
      </w:r>
    </w:p>
    <w:p>
      <w:pPr>
        <w:pStyle w:val="Normal"/>
        <w:spacing w:lineRule="exact" w:line="360"/>
        <w:rPr>
          <w:rFonts w:ascii="Times New Roman" w:hAnsi="Times New Roman" w:cs="Times New Roman"/>
          <w:sz w:val="22"/>
        </w:rPr>
      </w:pPr>
      <w:r>
        <w:rPr>
          <w:rFonts w:cs="Times New Roman" w:ascii="Times New Roman" w:hAnsi="Times New Roman"/>
          <w:sz w:val="22"/>
        </w:rPr>
      </w:r>
    </w:p>
    <w:p>
      <w:pPr>
        <w:pStyle w:val="Normal"/>
        <w:spacing w:lineRule="exact" w:line="360"/>
        <w:rPr/>
      </w:pPr>
      <w:r>
        <w:rPr>
          <w:rFonts w:cs="Times New Roman" w:ascii="Times New Roman" w:hAnsi="Times New Roman"/>
          <w:sz w:val="22"/>
        </w:rPr>
        <w:t xml:space="preserve">An executive of a broker, which serves as a go-between, sees the current situation as </w:t>
      </w:r>
      <w:r>
        <w:rPr>
          <w:rFonts w:cs="Times New Roman" w:ascii="Times New Roman" w:hAnsi="Times New Roman"/>
          <w:sz w:val="22"/>
        </w:rPr>
        <w:t>“</w:t>
      </w:r>
      <w:r>
        <w:rPr>
          <w:rFonts w:cs="Times New Roman" w:ascii="Times New Roman" w:hAnsi="Times New Roman"/>
          <w:sz w:val="22"/>
        </w:rPr>
        <w:t>a transition phase from a virtual [market] to a real [market].</w:t>
      </w:r>
      <w:r>
        <w:rPr>
          <w:rFonts w:cs="Times New Roman" w:ascii="Times New Roman" w:hAnsi="Times New Roman"/>
          <w:sz w:val="22"/>
        </w:rPr>
        <w:t>”</w:t>
      </w:r>
      <w:r>
        <w:rPr>
          <w:rFonts w:cs="Times New Roman" w:ascii="Times New Roman" w:hAnsi="Times New Roman"/>
          <w:sz w:val="22"/>
        </w:rPr>
        <w:t xml:space="preserve">  </w:t>
      </w:r>
      <w:r>
        <w:rPr>
          <w:rFonts w:cs="Times New Roman" w:ascii="Times New Roman" w:hAnsi="Times New Roman"/>
          <w:sz w:val="22"/>
        </w:rPr>
        <w:t>The</w:t>
      </w:r>
      <w:r>
        <w:rPr>
          <w:rFonts w:cs="Times New Roman" w:ascii="Times New Roman" w:hAnsi="Times New Roman"/>
          <w:sz w:val="22"/>
        </w:rPr>
        <w:t xml:space="preserve"> process to establish a real market is likely to become visible when a transaction is actually settled.</w:t>
      </w:r>
    </w:p>
    <w:sectPr>
      <w:footerReference w:type="default" r:id="rId2"/>
      <w:type w:val="nextPage"/>
      <w:pgSz w:w="11906" w:h="16838"/>
      <w:pgMar w:left="1418" w:right="1418" w:gutter="0" w:header="0" w:top="1985" w:footer="992" w:bottom="1701"/>
      <w:pgNumType w:fmt="decimal"/>
      <w:formProt w:val="false"/>
      <w:textDirection w:val="lrTb"/>
      <w:docGrid w:type="lines"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entury">
    <w:charset w:val="00" w:characterSet="windows-1252"/>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Times New Roman" w:hAnsi="Times New Roman" w:cs="Times New Roman"/>
      </w:rPr>
    </w:pPr>
    <w:r>
      <w:rPr>
        <w:rFonts w:cs="Times New Roman" w:ascii="Times New Roman" w:hAnsi="Times New Roman"/>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0"/>
  <w:defaultTabStop w:val="84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jc w:val="both"/>
    </w:pPr>
    <w:rPr>
      <w:rFonts w:ascii="Century" w:hAnsi="Century" w:eastAsia="ＭＳ 明朝" w:cs="Century"/>
      <w:color w:val="auto"/>
      <w:kern w:val="2"/>
      <w:sz w:val="21"/>
      <w:szCs w:val="20"/>
      <w:lang w:val="en-US" w:eastAsia="ja-JP" w:bidi="hi-IN"/>
    </w:rPr>
  </w:style>
  <w:style w:type="paragraph" w:styleId="Heading1">
    <w:name w:val="heading 1"/>
    <w:basedOn w:val="Normal"/>
    <w:next w:val="Normal"/>
    <w:qFormat/>
    <w:pPr>
      <w:keepNext w:val="true"/>
      <w:numPr>
        <w:ilvl w:val="0"/>
        <w:numId w:val="1"/>
      </w:numPr>
      <w:jc w:val="center"/>
      <w:outlineLvl w:val="0"/>
    </w:pPr>
    <w:rPr>
      <w:rFonts w:ascii="Times New Roman" w:hAnsi="Times New Roman" w:cs="Times New Roman"/>
      <w:b/>
      <w:sz w:val="24"/>
    </w:rPr>
  </w:style>
  <w:style w:type="paragraph" w:styleId="Heading2">
    <w:name w:val="heading 2"/>
    <w:basedOn w:val="Normal"/>
    <w:next w:val="Style13"/>
    <w:qFormat/>
    <w:pPr>
      <w:keepNext w:val="true"/>
      <w:numPr>
        <w:ilvl w:val="1"/>
        <w:numId w:val="1"/>
      </w:numPr>
      <w:outlineLvl w:val="1"/>
    </w:pPr>
    <w:rPr>
      <w:rFonts w:ascii="Times New Roman" w:hAnsi="Times New Roman" w:cs="Times New Roman"/>
      <w:i/>
      <w:sz w:val="22"/>
    </w:rPr>
  </w:style>
  <w:style w:type="paragraph" w:styleId="Heading3">
    <w:name w:val="heading 3"/>
    <w:basedOn w:val="Normal"/>
    <w:next w:val="Style13"/>
    <w:qFormat/>
    <w:pPr>
      <w:keepNext w:val="true"/>
      <w:numPr>
        <w:ilvl w:val="2"/>
        <w:numId w:val="1"/>
      </w:numPr>
      <w:outlineLvl w:val="2"/>
    </w:pPr>
    <w:rPr>
      <w:rFonts w:ascii="Times New Roman" w:hAnsi="Times New Roman" w:cs="Times New Roman"/>
      <w:sz w:val="22"/>
      <w:u w:val="single"/>
    </w:rPr>
  </w:style>
  <w:style w:type="character" w:styleId="WW8Num5z0">
    <w:name w:val="WW8Num5z0"/>
    <w:qFormat/>
    <w:rPr>
      <w:rFonts w:ascii="Wingdings" w:hAnsi="Wingdings" w:cs="Wingdings"/>
    </w:rPr>
  </w:style>
  <w:style w:type="character" w:styleId="WW8Num6z0">
    <w:name w:val="WW8Num6z0"/>
    <w:qFormat/>
    <w:rPr>
      <w:rFonts w:ascii="Wingdings" w:hAnsi="Wingdings" w:cs="Wingdings"/>
    </w:rPr>
  </w:style>
  <w:style w:type="character" w:styleId="WW8Num7z0">
    <w:name w:val="WW8Num7z0"/>
    <w:qFormat/>
    <w:rPr>
      <w:rFonts w:ascii="Wingdings" w:hAnsi="Wingdings" w:cs="Wingdings"/>
    </w:rPr>
  </w:style>
  <w:style w:type="character" w:styleId="WW8Num8z0">
    <w:name w:val="WW8Num8z0"/>
    <w:qFormat/>
    <w:rPr>
      <w:rFonts w:ascii="Wingdings" w:hAnsi="Wingdings" w:cs="Wingdings"/>
    </w:rPr>
  </w:style>
  <w:style w:type="character" w:styleId="WW8Num10z0">
    <w:name w:val="WW8Num10z0"/>
    <w:qFormat/>
    <w:rPr>
      <w:rFonts w:ascii="Wingdings" w:hAnsi="Wingdings" w:cs="Wingdings"/>
    </w:rPr>
  </w:style>
  <w:style w:type="character" w:styleId="WW8Num11z0">
    <w:name w:val="WW8Num11z0"/>
    <w:qFormat/>
    <w:rPr>
      <w:rFonts w:ascii="Symbol" w:hAnsi="Symbol" w:cs="Symbol"/>
    </w:rPr>
  </w:style>
  <w:style w:type="character" w:styleId="Style11">
    <w:name w:val="段落ﾌｫﾝﾄ"/>
    <w:qFormat/>
    <w:rPr/>
  </w:style>
  <w:style w:type="character" w:styleId="PageNumber">
    <w:name w:val="page number"/>
    <w:basedOn w:val="Style11"/>
    <w:rPr/>
  </w:style>
  <w:style w:type="character" w:styleId="Hyperlink">
    <w:name w:val="Hyperlink"/>
    <w:basedOn w:val="Style11"/>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exact" w:line="340"/>
    </w:pPr>
    <w:rPr>
      <w:rFonts w:ascii="Times New Roman" w:hAnsi="Times New Roman" w:cs="Times New Roman"/>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840"/>
        <w:tab w:val="center" w:pos="4986" w:leader="none"/>
        <w:tab w:val="right" w:pos="9972" w:leader="none"/>
      </w:tabs>
    </w:pPr>
    <w:rPr/>
  </w:style>
  <w:style w:type="paragraph" w:styleId="Header">
    <w:name w:val="header"/>
    <w:basedOn w:val="Normal"/>
    <w:pPr>
      <w:tabs>
        <w:tab w:val="clear" w:pos="840"/>
        <w:tab w:val="center" w:pos="4252" w:leader="none"/>
        <w:tab w:val="right" w:pos="8504" w:leader="none"/>
      </w:tabs>
      <w:snapToGrid w:val="false"/>
    </w:pPr>
    <w:rPr/>
  </w:style>
  <w:style w:type="paragraph" w:styleId="Footer">
    <w:name w:val="footer"/>
    <w:basedOn w:val="Normal"/>
    <w:pPr>
      <w:tabs>
        <w:tab w:val="clear" w:pos="840"/>
        <w:tab w:val="center" w:pos="4252" w:leader="none"/>
        <w:tab w:val="right" w:pos="8504" w:leader="none"/>
      </w:tabs>
      <w:snapToGrid w:val="false"/>
    </w:pPr>
    <w:rPr/>
  </w:style>
  <w:style w:type="paragraph" w:styleId="2">
    <w:name w:val="本文 2"/>
    <w:basedOn w:val="Normal"/>
    <w:qFormat/>
    <w:pPr>
      <w:spacing w:lineRule="exact" w:line="340"/>
      <w:jc w:val="center"/>
    </w:pPr>
    <w:rPr>
      <w:rFonts w:ascii="Times New Roman" w:hAnsi="Times New Roman" w:cs="Times New Roman"/>
      <w:b/>
      <w:sz w:val="24"/>
    </w:rPr>
  </w:style>
  <w:style w:type="paragraph" w:styleId="Style12">
    <w:name w:val="日付"/>
    <w:basedOn w:val="Normal"/>
    <w:next w:val="Normal"/>
    <w:qFormat/>
    <w:pPr/>
    <w:rPr>
      <w:rFonts w:ascii="Times New Roman" w:hAnsi="Times New Roman" w:eastAsia="ＭＳ ゴシック" w:cs="Times New Roman"/>
      <w:color w:val="000000"/>
    </w:rPr>
  </w:style>
  <w:style w:type="paragraph" w:styleId="3">
    <w:name w:val="本文 3"/>
    <w:basedOn w:val="Normal"/>
    <w:qFormat/>
    <w:pPr>
      <w:spacing w:lineRule="exact" w:line="340"/>
    </w:pPr>
    <w:rPr>
      <w:rFonts w:ascii="Times New Roman" w:hAnsi="Times New Roman" w:cs="Times New Roman"/>
      <w:i/>
      <w:sz w:val="22"/>
      <w:lang w:val="en-GB"/>
    </w:rPr>
  </w:style>
  <w:style w:type="paragraph" w:styleId="Style13">
    <w:name w:val="標準ｲﾝﾃﾞﾝﾄ"/>
    <w:basedOn w:val="Normal"/>
    <w:qFormat/>
    <w:pPr>
      <w:ind w:hanging="0" w:start="851" w:end="0"/>
    </w:pPr>
    <w:rPr/>
  </w:style>
  <w:style w:type="paragraph" w:styleId="Style14">
    <w:name w:val="見出しﾏｯﾌﾟ"/>
    <w:basedOn w:val="Normal"/>
    <w:qFormat/>
    <w:pPr>
      <w:shd w:fill="000080" w:val="clear"/>
    </w:pPr>
    <w:rPr>
      <w:rFonts w:ascii="Arial" w:hAnsi="Arial" w:eastAsia="ＭＳ ゴシック" w:cs="Arial"/>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5452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2001-02-06T06:39:00Z</dcterms:created>
  <dc:creator>IRJ</dc:creator>
  <dc:description/>
  <dc:language>en-CA</dc:language>
  <cp:lastModifiedBy>IRJ PR Services</cp:lastModifiedBy>
  <cp:lastPrinted>2001-10-23T17:34:00Z</cp:lastPrinted>
  <dcterms:modified xsi:type="dcterms:W3CDTF">2001-10-23T06:45:00Z</dcterms:modified>
  <cp:revision>1443</cp:revision>
  <dc:subject/>
  <dc:title>'Fair Transaction Guidelines for Electricity and Gas Business to be Expanded to Telecommunication Business' says Fair Trade Co</dc:title>
</cp:coreProperties>
</file>