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6"/>
        <w:ind w:hanging="0" w:start="0"/>
        <w:rPr/>
      </w:pPr>
      <w:r>
        <w:rPr/>
        <w:t>Proposals to Alleviate California’s Electricity Shortage</w:t>
      </w:r>
    </w:p>
    <w:p>
      <w:pPr>
        <w:pStyle w:val="Heading6"/>
        <w:ind w:hanging="0" w:start="0"/>
        <w:rPr/>
      </w:pPr>
      <w:r>
        <w:rPr/>
        <w:t>Through Incentives to Reduce Demand</w:t>
      </w:r>
    </w:p>
    <w:p>
      <w:pPr>
        <w:pStyle w:val="Normal"/>
        <w:jc w:val="center"/>
        <w:rPr>
          <w:sz w:val="20"/>
        </w:rPr>
      </w:pPr>
      <w:r>
        <w:rPr>
          <w:sz w:val="20"/>
        </w:rPr>
      </w:r>
    </w:p>
    <w:p>
      <w:pPr>
        <w:pStyle w:val="Heading3"/>
        <w:ind w:hanging="0" w:start="0"/>
        <w:jc w:val="center"/>
        <w:rPr>
          <w:sz w:val="22"/>
        </w:rPr>
      </w:pPr>
      <w:r>
        <w:rPr>
          <w:sz w:val="22"/>
        </w:rPr>
        <w:t>Proposal #1:</w:t>
        <w:tab/>
        <w:t>On-line Auction for Customer Demand Reductions</w:t>
      </w:r>
    </w:p>
    <w:p>
      <w:pPr>
        <w:pStyle w:val="Heading2"/>
        <w:ind w:hanging="0" w:start="0"/>
        <w:rPr>
          <w:sz w:val="22"/>
          <w:u w:val="none"/>
        </w:rPr>
      </w:pPr>
      <w:r>
        <w:rPr>
          <w:sz w:val="22"/>
          <w:u w:val="none"/>
        </w:rPr>
      </w:r>
    </w:p>
    <w:p>
      <w:pPr>
        <w:pStyle w:val="Heading2"/>
        <w:ind w:hanging="0" w:start="0"/>
        <w:rPr>
          <w:sz w:val="22"/>
        </w:rPr>
      </w:pPr>
      <w:r>
        <w:rPr>
          <w:sz w:val="22"/>
        </w:rPr>
        <w:t>Objective</w:t>
      </w:r>
    </w:p>
    <w:p>
      <w:pPr>
        <w:pStyle w:val="Normal"/>
        <w:numPr>
          <w:ilvl w:val="0"/>
          <w:numId w:val="3"/>
        </w:numPr>
        <w:tabs>
          <w:tab w:val="clear" w:pos="720"/>
        </w:tabs>
        <w:rPr>
          <w:sz w:val="22"/>
        </w:rPr>
      </w:pPr>
      <w:r>
        <w:rPr>
          <w:sz w:val="22"/>
        </w:rPr>
        <w:t>Using an on-line auction platform, provide consumers with financial incentives to reduce demand in anticipation of Summer 2001 electricity demand</w:t>
      </w:r>
    </w:p>
    <w:p>
      <w:pPr>
        <w:pStyle w:val="Normal"/>
        <w:rPr>
          <w:sz w:val="22"/>
        </w:rPr>
      </w:pPr>
      <w:r>
        <w:rPr>
          <w:sz w:val="22"/>
        </w:rPr>
      </w:r>
    </w:p>
    <w:p>
      <w:pPr>
        <w:pStyle w:val="Heading2"/>
        <w:ind w:hanging="0" w:start="0"/>
        <w:rPr>
          <w:sz w:val="22"/>
        </w:rPr>
      </w:pPr>
      <w:r>
        <w:rPr>
          <w:sz w:val="22"/>
        </w:rPr>
        <w:t>Proposal</w:t>
      </w:r>
    </w:p>
    <w:p>
      <w:pPr>
        <w:pStyle w:val="Normal"/>
        <w:numPr>
          <w:ilvl w:val="0"/>
          <w:numId w:val="3"/>
        </w:numPr>
        <w:tabs>
          <w:tab w:val="clear" w:pos="720"/>
        </w:tabs>
        <w:rPr>
          <w:sz w:val="22"/>
        </w:rPr>
      </w:pPr>
      <w:r>
        <w:rPr>
          <w:sz w:val="22"/>
        </w:rPr>
        <w:t>The California PUC should require the utilities to immediately conduct on-line auctions for demand reductions totaling at least 2,000 MWs.</w:t>
      </w:r>
    </w:p>
    <w:p>
      <w:pPr>
        <w:pStyle w:val="Normal"/>
        <w:numPr>
          <w:ilvl w:val="0"/>
          <w:numId w:val="3"/>
        </w:numPr>
        <w:tabs>
          <w:tab w:val="clear" w:pos="720"/>
        </w:tabs>
        <w:rPr>
          <w:sz w:val="22"/>
        </w:rPr>
      </w:pPr>
      <w:r>
        <w:rPr>
          <w:sz w:val="22"/>
        </w:rPr>
        <w:t>Alternatively, DWR could run the auction and implement the buy-down program.  However, if it is determined that DWR requires additional authority to execute the auction, the State should avoid any further delays and direct the CPUC to order the utilities to implement the buy-down program immediately.</w:t>
      </w:r>
    </w:p>
    <w:p>
      <w:pPr>
        <w:pStyle w:val="Normal"/>
        <w:rPr>
          <w:sz w:val="22"/>
        </w:rPr>
      </w:pPr>
      <w:r>
        <w:rPr>
          <w:sz w:val="22"/>
        </w:rPr>
      </w:r>
    </w:p>
    <w:p>
      <w:pPr>
        <w:pStyle w:val="Normal"/>
        <w:rPr>
          <w:b/>
          <w:i/>
          <w:i/>
          <w:sz w:val="22"/>
        </w:rPr>
      </w:pPr>
      <w:r>
        <w:rPr>
          <w:b/>
          <w:i/>
          <w:sz w:val="22"/>
        </w:rPr>
        <w:t>The Auction Process (assuming the utilities implement the program)</w:t>
      </w:r>
    </w:p>
    <w:p>
      <w:pPr>
        <w:pStyle w:val="Normal"/>
        <w:numPr>
          <w:ilvl w:val="0"/>
          <w:numId w:val="3"/>
        </w:numPr>
        <w:tabs>
          <w:tab w:val="clear" w:pos="720"/>
        </w:tabs>
        <w:rPr>
          <w:sz w:val="22"/>
        </w:rPr>
      </w:pPr>
      <w:r>
        <w:rPr>
          <w:sz w:val="22"/>
        </w:rPr>
        <w:t xml:space="preserve">Businesses and large consumers willing to commit to sustained reductions through November 1, 2001 would submit bids indicating the price they would be willing to receive for a given quantity of permanent reduction </w:t>
      </w:r>
    </w:p>
    <w:p>
      <w:pPr>
        <w:pStyle w:val="Normal"/>
        <w:numPr>
          <w:ilvl w:val="0"/>
          <w:numId w:val="3"/>
        </w:numPr>
        <w:tabs>
          <w:tab w:val="clear" w:pos="720"/>
        </w:tabs>
        <w:rPr>
          <w:sz w:val="22"/>
        </w:rPr>
      </w:pPr>
      <w:r>
        <w:rPr>
          <w:sz w:val="22"/>
        </w:rPr>
        <w:t xml:space="preserve">If the “supply” of available reductions offered in the auction exceeds 2,000 MWs, the utility should accept them, or explain to the Commission why they chose not to accept them </w:t>
      </w:r>
    </w:p>
    <w:p>
      <w:pPr>
        <w:pStyle w:val="Normal"/>
        <w:numPr>
          <w:ilvl w:val="0"/>
          <w:numId w:val="3"/>
        </w:numPr>
        <w:tabs>
          <w:tab w:val="clear" w:pos="720"/>
        </w:tabs>
        <w:rPr>
          <w:sz w:val="22"/>
        </w:rPr>
      </w:pPr>
      <w:r>
        <w:rPr>
          <w:sz w:val="22"/>
        </w:rPr>
        <w:t>Businesses should be permitted to include in their bids the continued payment of wages to compensate employees for hours of employment foregone due to demand reductions</w:t>
      </w:r>
    </w:p>
    <w:p>
      <w:pPr>
        <w:pStyle w:val="Normal"/>
        <w:rPr>
          <w:sz w:val="22"/>
        </w:rPr>
      </w:pPr>
      <w:r>
        <w:rPr>
          <w:sz w:val="22"/>
        </w:rPr>
      </w:r>
    </w:p>
    <w:p>
      <w:pPr>
        <w:pStyle w:val="Heading2"/>
        <w:ind w:hanging="0" w:start="0"/>
        <w:rPr>
          <w:sz w:val="22"/>
        </w:rPr>
      </w:pPr>
      <w:r>
        <w:rPr>
          <w:sz w:val="22"/>
        </w:rPr>
        <w:t>Disadvantages of A Single Price Approach to the Auction</w:t>
      </w:r>
    </w:p>
    <w:p>
      <w:pPr>
        <w:pStyle w:val="Normal"/>
        <w:numPr>
          <w:ilvl w:val="0"/>
          <w:numId w:val="3"/>
        </w:numPr>
        <w:tabs>
          <w:tab w:val="clear" w:pos="720"/>
        </w:tabs>
        <w:rPr>
          <w:sz w:val="22"/>
        </w:rPr>
      </w:pPr>
      <w:r>
        <w:rPr>
          <w:sz w:val="22"/>
        </w:rPr>
        <w:t>A single price approach to a demand buy down program has two key disadvantages:</w:t>
      </w:r>
    </w:p>
    <w:p>
      <w:pPr>
        <w:pStyle w:val="Normal"/>
        <w:numPr>
          <w:ilvl w:val="0"/>
          <w:numId w:val="3"/>
        </w:numPr>
        <w:tabs>
          <w:tab w:val="clear" w:pos="720"/>
        </w:tabs>
        <w:rPr>
          <w:sz w:val="22"/>
        </w:rPr>
      </w:pPr>
      <w:r>
        <w:rPr>
          <w:sz w:val="22"/>
        </w:rPr>
        <w:t>First, customers who would be willing to reduce demand for a lesser price will be overpaid, much in the same way the single price auction in the PC overpaid lower cost generators.  The state would overpay for reduced demand under the single price approach.</w:t>
      </w:r>
    </w:p>
    <w:p>
      <w:pPr>
        <w:pStyle w:val="Normal"/>
        <w:numPr>
          <w:ilvl w:val="0"/>
          <w:numId w:val="3"/>
        </w:numPr>
        <w:tabs>
          <w:tab w:val="clear" w:pos="720"/>
        </w:tabs>
        <w:rPr>
          <w:sz w:val="22"/>
        </w:rPr>
      </w:pPr>
      <w:r>
        <w:rPr>
          <w:sz w:val="22"/>
        </w:rPr>
        <w:t>Second, the single price may not attract sufficient demand reductions.</w:t>
      </w:r>
    </w:p>
    <w:p>
      <w:pPr>
        <w:pStyle w:val="Normal"/>
        <w:numPr>
          <w:ilvl w:val="0"/>
          <w:numId w:val="3"/>
        </w:numPr>
        <w:tabs>
          <w:tab w:val="clear" w:pos="720"/>
        </w:tabs>
        <w:rPr>
          <w:sz w:val="22"/>
        </w:rPr>
      </w:pPr>
      <w:r>
        <w:rPr>
          <w:sz w:val="22"/>
        </w:rPr>
        <w:t>Further, the single price approach does not provide greater certainty regarding the cost of demand reductions.  By conducting an auction, the state will be able to observe all bids and pay on an as bid basis, starting with the lowest bids necessary to provide the required demand reductions up to the cost the state is willing to pay.</w:t>
      </w:r>
    </w:p>
    <w:p>
      <w:pPr>
        <w:pStyle w:val="Normal"/>
        <w:numPr>
          <w:ilvl w:val="0"/>
          <w:numId w:val="3"/>
        </w:numPr>
        <w:tabs>
          <w:tab w:val="clear" w:pos="720"/>
        </w:tabs>
        <w:rPr>
          <w:sz w:val="22"/>
        </w:rPr>
      </w:pPr>
      <w:r>
        <w:rPr>
          <w:sz w:val="22"/>
          <w:u w:val="single"/>
        </w:rPr>
        <w:t>A single price approach, however, could work if targeted at customers who would not participate in an auction, i.e. residential customers</w:t>
      </w:r>
      <w:r>
        <w:rPr>
          <w:sz w:val="22"/>
        </w:rPr>
        <w:t>.  A well-publicized program of rebates to residential customers who use less than last year would further reduce demand in the state.  Thus the auction and the single price could be structured in a complimentary fashion.</w:t>
      </w:r>
    </w:p>
    <w:p>
      <w:pPr>
        <w:pStyle w:val="Normal"/>
        <w:numPr>
          <w:ilvl w:val="0"/>
          <w:numId w:val="3"/>
        </w:numPr>
        <w:tabs>
          <w:tab w:val="clear" w:pos="720"/>
        </w:tabs>
        <w:rPr>
          <w:sz w:val="22"/>
        </w:rPr>
      </w:pPr>
      <w:r>
        <w:rPr>
          <w:sz w:val="22"/>
        </w:rPr>
        <w:t>The costs of the incentive program should be paid for by all consumers, since all consumers will benefit from the decreased risk of service interruptions caused by the demand reductions</w:t>
      </w:r>
    </w:p>
    <w:p>
      <w:pPr>
        <w:pStyle w:val="Normal"/>
        <w:numPr>
          <w:ilvl w:val="0"/>
          <w:numId w:val="3"/>
        </w:numPr>
        <w:tabs>
          <w:tab w:val="clear" w:pos="720"/>
        </w:tabs>
        <w:rPr>
          <w:sz w:val="22"/>
        </w:rPr>
      </w:pPr>
      <w:r>
        <w:rPr>
          <w:sz w:val="22"/>
        </w:rPr>
        <w:t>If DWR implements the program, DWR’ would recover its costs through rates, similar to the cost recovery mechanism used to recover power purchase costs.</w:t>
      </w:r>
    </w:p>
    <w:p>
      <w:pPr>
        <w:pStyle w:val="Normal"/>
        <w:numPr>
          <w:ilvl w:val="0"/>
          <w:numId w:val="3"/>
        </w:numPr>
        <w:tabs>
          <w:tab w:val="clear" w:pos="720"/>
        </w:tabs>
        <w:rPr>
          <w:sz w:val="22"/>
        </w:rPr>
      </w:pPr>
      <w:r>
        <w:rPr>
          <w:sz w:val="22"/>
        </w:rPr>
        <w:t>If the utilities implement the program, the California PUC would include program costs in rates collected from customers</w:t>
      </w:r>
    </w:p>
    <w:p>
      <w:pPr>
        <w:pStyle w:val="Normal"/>
        <w:numPr>
          <w:ilvl w:val="0"/>
          <w:numId w:val="3"/>
        </w:numPr>
        <w:tabs>
          <w:tab w:val="clear" w:pos="720"/>
        </w:tabs>
        <w:rPr>
          <w:sz w:val="22"/>
        </w:rPr>
      </w:pPr>
      <w:r>
        <w:rPr>
          <w:sz w:val="22"/>
        </w:rPr>
        <w:t>The auction should be conducted online which will increase transparency and reduce the time required to complete the process</w:t>
      </w:r>
    </w:p>
    <w:p>
      <w:pPr>
        <w:pStyle w:val="Normal"/>
        <w:rPr>
          <w:sz w:val="22"/>
        </w:rPr>
      </w:pPr>
      <w:r>
        <w:rPr>
          <w:sz w:val="22"/>
        </w:rPr>
      </w:r>
    </w:p>
    <w:p>
      <w:pPr>
        <w:pStyle w:val="Heading2"/>
        <w:ind w:hanging="0" w:start="0"/>
        <w:rPr>
          <w:b/>
          <w:i/>
          <w:i/>
          <w:sz w:val="22"/>
        </w:rPr>
      </w:pPr>
      <w:r>
        <w:rPr>
          <w:sz w:val="22"/>
        </w:rPr>
        <w:t>Hazards to Avoid</w:t>
      </w:r>
    </w:p>
    <w:p>
      <w:pPr>
        <w:pStyle w:val="Normal"/>
        <w:numPr>
          <w:ilvl w:val="0"/>
          <w:numId w:val="5"/>
        </w:numPr>
        <w:rPr>
          <w:sz w:val="22"/>
        </w:rPr>
      </w:pPr>
      <w:r>
        <w:rPr>
          <w:sz w:val="22"/>
        </w:rPr>
        <w:t>Avoid allowing lengthy utility and/or PUC review to delay implementation of the reductions</w:t>
      </w:r>
    </w:p>
    <w:p>
      <w:pPr>
        <w:pStyle w:val="Normal"/>
        <w:numPr>
          <w:ilvl w:val="0"/>
          <w:numId w:val="2"/>
        </w:numPr>
        <w:rPr>
          <w:sz w:val="22"/>
        </w:rPr>
      </w:pPr>
      <w:r>
        <w:rPr>
          <w:sz w:val="22"/>
        </w:rPr>
        <w:t>Any unnecessary delay increases the chance that California will fail to achieve the reductions needed to help avoid severe shortages in Summer 2001</w:t>
      </w:r>
    </w:p>
    <w:p>
      <w:pPr>
        <w:pStyle w:val="Normal"/>
        <w:numPr>
          <w:ilvl w:val="0"/>
          <w:numId w:val="2"/>
        </w:numPr>
        <w:rPr>
          <w:sz w:val="22"/>
        </w:rPr>
      </w:pPr>
      <w:r>
        <w:rPr>
          <w:sz w:val="22"/>
        </w:rPr>
        <w:t>There are numerous firms offering moderately-priced on-line auction services that can quickly provide auction services to the utility</w:t>
      </w:r>
    </w:p>
    <w:p>
      <w:pPr>
        <w:pStyle w:val="Normal"/>
        <w:numPr>
          <w:ilvl w:val="0"/>
          <w:numId w:val="2"/>
        </w:numPr>
        <w:rPr>
          <w:sz w:val="22"/>
        </w:rPr>
      </w:pPr>
      <w:r>
        <w:rPr>
          <w:sz w:val="22"/>
        </w:rPr>
        <w:t>The utility should immediately contract for on-line services and present the contract to the California PUC for prompt approval</w:t>
      </w:r>
    </w:p>
    <w:p>
      <w:pPr>
        <w:pStyle w:val="Normal"/>
        <w:numPr>
          <w:ilvl w:val="0"/>
          <w:numId w:val="2"/>
        </w:numPr>
        <w:rPr>
          <w:sz w:val="22"/>
        </w:rPr>
      </w:pPr>
      <w:r>
        <w:rPr>
          <w:sz w:val="22"/>
        </w:rPr>
        <w:t>The utilities should also include in their submittal to the PUC a simple, streamlined set of pre-qualification criteria that would apply to bidders</w:t>
      </w:r>
    </w:p>
    <w:p>
      <w:pPr>
        <w:pStyle w:val="Normal"/>
        <w:numPr>
          <w:ilvl w:val="0"/>
          <w:numId w:val="2"/>
        </w:numPr>
        <w:rPr>
          <w:sz w:val="22"/>
        </w:rPr>
      </w:pPr>
      <w:r>
        <w:rPr>
          <w:sz w:val="22"/>
        </w:rPr>
        <w:t>The pre-qualification criteria should be designed with the goal of making participation as easy and expansive as possible</w:t>
      </w:r>
    </w:p>
    <w:p>
      <w:pPr>
        <w:pStyle w:val="Normal"/>
        <w:numPr>
          <w:ilvl w:val="0"/>
          <w:numId w:val="2"/>
        </w:numPr>
        <w:rPr>
          <w:sz w:val="22"/>
        </w:rPr>
      </w:pPr>
      <w:r>
        <w:rPr>
          <w:sz w:val="22"/>
        </w:rPr>
        <w:t>Pre-qualification will encourage legitimate offers and reduce transaction time</w:t>
      </w:r>
    </w:p>
    <w:p>
      <w:pPr>
        <w:pStyle w:val="Normal"/>
        <w:numPr>
          <w:ilvl w:val="0"/>
          <w:numId w:val="2"/>
        </w:numPr>
        <w:rPr>
          <w:sz w:val="22"/>
        </w:rPr>
      </w:pPr>
      <w:r>
        <w:rPr>
          <w:sz w:val="22"/>
        </w:rPr>
        <w:t>Once the PUC has approved the auction process, the PUC should not apply any additional review to the auction results</w:t>
      </w:r>
    </w:p>
    <w:p>
      <w:pPr>
        <w:pStyle w:val="Normal"/>
        <w:numPr>
          <w:ilvl w:val="0"/>
          <w:numId w:val="2"/>
        </w:numPr>
        <w:rPr>
          <w:sz w:val="22"/>
        </w:rPr>
      </w:pPr>
      <w:r>
        <w:rPr>
          <w:sz w:val="22"/>
        </w:rPr>
        <w:t>Auction “pre-approval” will ensure that the utilities are actively and constructively engaged</w:t>
      </w:r>
    </w:p>
    <w:p>
      <w:pPr>
        <w:pStyle w:val="Normal"/>
        <w:rPr>
          <w:sz w:val="22"/>
        </w:rPr>
      </w:pPr>
      <w:r>
        <w:rPr>
          <w:sz w:val="22"/>
        </w:rPr>
      </w:r>
    </w:p>
    <w:p>
      <w:pPr>
        <w:pStyle w:val="Heading2"/>
        <w:ind w:hanging="0" w:start="0"/>
        <w:rPr>
          <w:sz w:val="22"/>
        </w:rPr>
      </w:pPr>
      <w:r>
        <w:rPr>
          <w:sz w:val="22"/>
        </w:rPr>
        <w:t>Actions</w:t>
      </w:r>
    </w:p>
    <w:p>
      <w:pPr>
        <w:pStyle w:val="Normal"/>
        <w:numPr>
          <w:ilvl w:val="0"/>
          <w:numId w:val="7"/>
        </w:numPr>
        <w:ind w:hanging="288" w:start="360" w:end="0"/>
        <w:rPr>
          <w:sz w:val="22"/>
        </w:rPr>
      </w:pPr>
      <w:r>
        <w:rPr>
          <w:sz w:val="22"/>
        </w:rPr>
        <w:t>Governor’s office directs PUC to initiate auction and residential program</w:t>
      </w:r>
    </w:p>
    <w:p>
      <w:pPr>
        <w:pStyle w:val="Normal"/>
        <w:numPr>
          <w:ilvl w:val="0"/>
          <w:numId w:val="7"/>
        </w:numPr>
        <w:ind w:hanging="288" w:start="360" w:end="0"/>
        <w:rPr>
          <w:sz w:val="22"/>
        </w:rPr>
      </w:pPr>
      <w:r>
        <w:rPr>
          <w:sz w:val="22"/>
        </w:rPr>
        <w:t>CPUC directs utility to submit auction proposal within 14 days</w:t>
      </w:r>
    </w:p>
    <w:p>
      <w:pPr>
        <w:pStyle w:val="Normal"/>
        <w:numPr>
          <w:ilvl w:val="0"/>
          <w:numId w:val="6"/>
        </w:numPr>
        <w:rPr>
          <w:sz w:val="22"/>
        </w:rPr>
      </w:pPr>
      <w:r>
        <w:rPr>
          <w:sz w:val="22"/>
        </w:rPr>
        <w:t>Establish abbreviated schedule</w:t>
      </w:r>
    </w:p>
    <w:p>
      <w:pPr>
        <w:pStyle w:val="Normal"/>
        <w:numPr>
          <w:ilvl w:val="0"/>
          <w:numId w:val="6"/>
        </w:numPr>
        <w:rPr>
          <w:sz w:val="22"/>
        </w:rPr>
      </w:pPr>
      <w:r>
        <w:rPr>
          <w:sz w:val="22"/>
        </w:rPr>
        <w:t>Provide parties with abbreviated opportunity to comment</w:t>
      </w:r>
    </w:p>
    <w:p>
      <w:pPr>
        <w:pStyle w:val="Normal"/>
        <w:numPr>
          <w:ilvl w:val="0"/>
          <w:numId w:val="6"/>
        </w:numPr>
        <w:rPr>
          <w:sz w:val="22"/>
        </w:rPr>
      </w:pPr>
      <w:r>
        <w:rPr>
          <w:sz w:val="22"/>
        </w:rPr>
        <w:t>Finalize decision approving auction proposal within 14 days of utility submission</w:t>
      </w:r>
    </w:p>
    <w:p>
      <w:pPr>
        <w:pStyle w:val="Normal"/>
        <w:numPr>
          <w:ilvl w:val="0"/>
          <w:numId w:val="7"/>
        </w:numPr>
        <w:ind w:hanging="288" w:start="360" w:end="0"/>
        <w:rPr>
          <w:sz w:val="22"/>
        </w:rPr>
      </w:pPr>
      <w:r>
        <w:rPr>
          <w:sz w:val="22"/>
        </w:rPr>
        <w:t>CPUC rules in advance that results of auction are prudent, and utilities conduct auction by June 1</w:t>
      </w:r>
    </w:p>
    <w:p>
      <w:pPr>
        <w:pStyle w:val="Normal"/>
        <w:rPr>
          <w:sz w:val="22"/>
        </w:rPr>
      </w:pPr>
      <w:r>
        <w:rPr>
          <w:sz w:val="22"/>
        </w:rPr>
      </w:r>
    </w:p>
    <w:p>
      <w:pPr>
        <w:pStyle w:val="Heading1"/>
        <w:ind w:hanging="0" w:start="0"/>
        <w:jc w:val="center"/>
        <w:rPr>
          <w:rFonts w:ascii="Times New Roman" w:hAnsi="Times New Roman" w:cs="Times New Roman"/>
          <w:sz w:val="22"/>
        </w:rPr>
      </w:pPr>
      <w:r>
        <w:rPr>
          <w:rFonts w:cs="Times New Roman" w:ascii="Times New Roman" w:hAnsi="Times New Roman"/>
          <w:sz w:val="22"/>
        </w:rPr>
        <w:t>Proposal #2:</w:t>
        <w:tab/>
        <w:t xml:space="preserve">Incentives for Customers to Supply “Negawatts” </w:t>
      </w:r>
    </w:p>
    <w:p>
      <w:pPr>
        <w:pStyle w:val="Normal"/>
        <w:ind w:firstLine="720" w:end="0"/>
        <w:rPr>
          <w:rFonts w:ascii="Times New Roman" w:hAnsi="Times New Roman" w:cs="Times New Roman"/>
          <w:sz w:val="22"/>
        </w:rPr>
      </w:pPr>
      <w:r>
        <w:rPr>
          <w:rFonts w:cs="Times New Roman"/>
          <w:sz w:val="22"/>
        </w:rPr>
      </w:r>
    </w:p>
    <w:p>
      <w:pPr>
        <w:pStyle w:val="Normal"/>
        <w:ind w:firstLine="720" w:end="0"/>
        <w:rPr>
          <w:sz w:val="22"/>
        </w:rPr>
      </w:pPr>
      <w:r>
        <w:rPr>
          <w:sz w:val="22"/>
        </w:rPr>
        <w:t xml:space="preserve">In addition to using an on-line auction to secure sustained reductions over an extended period of time (i.e., the summer months), the State should also pursue a “Negawatt” program designed to compensate large energy consumers at market-based rates to reduce demand or shift consumption to off peak periods.  The program could be implemented quickly and could have an immediate impact.  </w:t>
      </w:r>
    </w:p>
    <w:p>
      <w:pPr>
        <w:pStyle w:val="Normal"/>
        <w:rPr>
          <w:sz w:val="22"/>
        </w:rPr>
      </w:pPr>
      <w:r>
        <w:rPr>
          <w:sz w:val="22"/>
        </w:rPr>
      </w:r>
    </w:p>
    <w:p>
      <w:pPr>
        <w:pStyle w:val="Normal"/>
        <w:ind w:firstLine="720" w:end="0"/>
        <w:rPr>
          <w:sz w:val="22"/>
        </w:rPr>
      </w:pPr>
      <w:r>
        <w:rPr>
          <w:sz w:val="22"/>
        </w:rPr>
        <w:t>To implement a negawatt program for this summer, California should mandate that local distribution companies develop a uniform mechanism that will be available to all utility customers.  The core features needed to implement the program are already in place (i.e., billing and metering).  Implementation can therefore be accomplished quickly so long as California policy makers provide the swift and decisive leadership necessary to jump-start the program.</w:t>
      </w:r>
    </w:p>
    <w:p>
      <w:pPr>
        <w:pStyle w:val="Normal"/>
        <w:ind w:firstLine="720" w:end="0"/>
        <w:rPr>
          <w:sz w:val="22"/>
        </w:rPr>
      </w:pPr>
      <w:r>
        <w:rPr>
          <w:sz w:val="22"/>
        </w:rPr>
      </w:r>
    </w:p>
    <w:p>
      <w:pPr>
        <w:pStyle w:val="Heading3"/>
        <w:ind w:hanging="0" w:start="0"/>
        <w:rPr>
          <w:sz w:val="22"/>
        </w:rPr>
      </w:pPr>
      <w:r>
        <w:rPr>
          <w:sz w:val="22"/>
        </w:rPr>
        <w:t xml:space="preserve">Elements of an Effective Demand Buy-Down Program </w:t>
      </w:r>
    </w:p>
    <w:p>
      <w:pPr>
        <w:pStyle w:val="Normal"/>
        <w:rPr>
          <w:sz w:val="22"/>
          <w:u w:val="single"/>
        </w:rPr>
      </w:pPr>
      <w:r>
        <w:rPr>
          <w:sz w:val="22"/>
          <w:u w:val="single"/>
        </w:rPr>
        <w:t>Access to Large Retail Loads with Real-Time Metering Capability:</w:t>
      </w:r>
    </w:p>
    <w:p>
      <w:pPr>
        <w:pStyle w:val="Normal"/>
        <w:rPr>
          <w:sz w:val="22"/>
          <w:u w:val="single"/>
        </w:rPr>
      </w:pPr>
      <w:r>
        <w:rPr>
          <w:sz w:val="22"/>
          <w:u w:val="single"/>
        </w:rPr>
      </w:r>
    </w:p>
    <w:p>
      <w:pPr>
        <w:pStyle w:val="Normal"/>
        <w:numPr>
          <w:ilvl w:val="1"/>
          <w:numId w:val="4"/>
        </w:numPr>
        <w:tabs>
          <w:tab w:val="clear" w:pos="720"/>
        </w:tabs>
        <w:ind w:hanging="360" w:start="720" w:end="0"/>
        <w:rPr>
          <w:sz w:val="22"/>
        </w:rPr>
      </w:pPr>
      <w:r>
        <w:rPr>
          <w:sz w:val="22"/>
        </w:rPr>
        <w:t xml:space="preserve">Retail customers within the defined service area of a local distribution company are capable of reducing load by at least 1 MW per hour.  Customers should be allowed to aggregate multiple sites to satisfy this threshold (e.g., all of Cisco’s manufacturing sites in a given area).  In addition, licensed retail energy suppliers should have the right to aggregate loads from multiple customers.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Customers must have the metering and telecommunications equipment in place to allow the local utility to measure consumption in real-time in order to verify that consumption is actually reduced.  The measurement interval must be aligned with the typical settlement periods established in the ISO’s markets.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Most large customers that would take advantage of a negawatt program already have real-time metering in place.  However, residential and smaller commercial customers willing to participate may not have such metering.  The Energy Commission’s proposal to finance and furnish customers with real-time meters should therefore include some portion of residential and small commercial customers. </w:t>
      </w:r>
    </w:p>
    <w:p>
      <w:pPr>
        <w:pStyle w:val="Normal"/>
        <w:ind w:start="720" w:end="0"/>
        <w:rPr>
          <w:sz w:val="22"/>
        </w:rPr>
      </w:pPr>
      <w:r>
        <w:rPr>
          <w:sz w:val="22"/>
        </w:rPr>
      </w:r>
    </w:p>
    <w:p>
      <w:pPr>
        <w:pStyle w:val="Normal"/>
        <w:rPr/>
      </w:pPr>
      <w:r>
        <w:rPr>
          <w:sz w:val="22"/>
          <w:u w:val="single"/>
        </w:rPr>
        <w:t>Customer Access to Real-Time and Forward Wholesale Price Signals</w:t>
      </w:r>
      <w:r>
        <w:rPr>
          <w:sz w:val="22"/>
        </w:rPr>
        <w:t>:</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The fundamental flaw with most demand reduction programs is that they fail to provide end-users with the flexibility to choose when, for how long and for how much money to reduce demand.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An effective demand reduction program must allow customers to tailor the price and scope of any reduction in response to real prices offered by competitors in the wholesale market.  This requires the customer to have access to a real-time pricing mechanism that shows forward prices for various time slots.  Depending on the structure of the market, these slots would typically be hourly, 4-hourly, 16 hourly, daily, weekly, midweek days or monthly.  For example, a service provider might post an offer to buy–down power at a given location for $100 dollars per MW for 16 hours a day between Monday and Friday.  An industrial customer might have the incentive to accept this offer since it could reduce and/or shift production to weekends and off-peak hours. The customer would make a decision about when to reduce its demand, so that the energy it would otherwise consume is sold in the wholesale market. The proceeds received by the customer would pay for the incremental labor and other costs that may be incurred when altering its production to reduce demand.  More importantly, the customer can accept the offer with certainty that the price and timing will not change after-the-fact.  </w:t>
      </w:r>
    </w:p>
    <w:p>
      <w:pPr>
        <w:pStyle w:val="Normal"/>
        <w:ind w:start="720" w:end="0"/>
        <w:rPr>
          <w:sz w:val="22"/>
        </w:rPr>
      </w:pPr>
      <w:r>
        <w:rPr>
          <w:sz w:val="22"/>
        </w:rPr>
      </w:r>
    </w:p>
    <w:p>
      <w:pPr>
        <w:pStyle w:val="Heading2"/>
        <w:ind w:hanging="0" w:start="0"/>
        <w:rPr>
          <w:sz w:val="22"/>
        </w:rPr>
      </w:pPr>
      <w:r>
        <w:rPr>
          <w:sz w:val="22"/>
        </w:rPr>
        <w:t>Local Distribution Companies Must Facilitate Transactions</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In order for a demand buy-down program to be implemented this summer, utilities must agree to “settle” transactions on behalf of its eligible customers.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 xml:space="preserve">When a customer decides to reduce load the utility (or CDWR) will have excess power to sell into the open market or to shift to other consumers.  If the utility (or CDWR) can sell the power in the open market, it may be able to resell the power for more than the price received by the end user.  </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 xml:space="preserve">The retail tariff for large customers typically has both fixed and variable components.  The fixed component typically includes the costs of assets needed to serve the customer and may include costs for metering, distribution, transmission, generation capacity, debt costs and the rate of return on equity invested in those assets.  The variable rate component includes the cost of the energy, which would include fuel costs.  </w:t>
      </w:r>
    </w:p>
    <w:p>
      <w:pPr>
        <w:pStyle w:val="Normal"/>
        <w:rPr>
          <w:sz w:val="22"/>
        </w:rPr>
      </w:pPr>
      <w:r>
        <w:rPr>
          <w:sz w:val="22"/>
        </w:rPr>
      </w:r>
    </w:p>
    <w:p>
      <w:pPr>
        <w:pStyle w:val="Normal"/>
        <w:numPr>
          <w:ilvl w:val="1"/>
          <w:numId w:val="4"/>
        </w:numPr>
        <w:tabs>
          <w:tab w:val="clear" w:pos="720"/>
        </w:tabs>
        <w:ind w:hanging="360" w:start="720" w:end="0"/>
        <w:rPr>
          <w:sz w:val="22"/>
        </w:rPr>
      </w:pPr>
      <w:r>
        <w:rPr>
          <w:sz w:val="22"/>
        </w:rPr>
        <w:t>Given the tariff structure, an issue arises as to whether the fixed and variable components of the tariff should be reduced by the credit at a level in excess of the demand “buy down” purchase price to reflect that the customer has reduced use of the fixed assets.  Since the customer has the option to use firm capacity at any time, it should still be required to pay the fixed component of the tariff.  This should also address any “take–or–pay” obligations that the utility (or CDWR) may have with power generators.</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The cost of transmission and distribution is already embedded in the retail tariff structure.  However, the offer to purchase a retail demand reduction may occur at a reference point (location) on the interstate transmission grid that is not included in the cost base of the utility.  Therefore, the incremental transmission costs of releasing power at such a reference point must be identified so that the price paid to the end user can be adjusted.  For example, a negawatt price of $100 may have been offered outside the utility control area and it would cost $5 to transport the power to the reference point.  Therefore, the “netback” to the customer would be $95.  The costs of such incremental transmission from common trading points can be easily identified by the utility and disclosed to the retail customer.</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 xml:space="preserve">Many large customers operate under a CPUC-approved general tariff that is applicable to a defined class.  But some of the largest customers have separately negotiated contract with the utility, approved by State Commissions.  Service under a general service tariff is based on a contract with basic terms and conditions and other terms incorporated by reference and that change from time to time upon the approval of the state regulatory body. Therefore, tariff changes necessary to establish a demand buy-down program can be accomplished quickly within existing tariff change procedures. </w:t>
      </w:r>
    </w:p>
    <w:p>
      <w:pPr>
        <w:pStyle w:val="Normal"/>
        <w:ind w:start="720" w:end="0"/>
        <w:rPr>
          <w:sz w:val="22"/>
        </w:rPr>
      </w:pPr>
      <w:r>
        <w:rPr>
          <w:sz w:val="22"/>
        </w:rPr>
      </w:r>
    </w:p>
    <w:p>
      <w:pPr>
        <w:pStyle w:val="Normal"/>
        <w:numPr>
          <w:ilvl w:val="1"/>
          <w:numId w:val="4"/>
        </w:numPr>
        <w:tabs>
          <w:tab w:val="clear" w:pos="720"/>
        </w:tabs>
        <w:ind w:hanging="360" w:start="720" w:end="0"/>
        <w:rPr>
          <w:sz w:val="22"/>
        </w:rPr>
      </w:pPr>
      <w:r>
        <w:rPr>
          <w:sz w:val="22"/>
        </w:rPr>
        <w:t>For the buy-down program to work, the utility must act as settlement agent (and collect an administration fee for doing so).  So long as a utility is revenue neutral (or better), it should have no qualms about acting in this capacity.  Acting as an agent, the utility would do the following:</w:t>
      </w:r>
    </w:p>
    <w:p>
      <w:pPr>
        <w:pStyle w:val="Normal"/>
        <w:ind w:start="720" w:end="0"/>
        <w:rPr>
          <w:sz w:val="22"/>
        </w:rPr>
      </w:pPr>
      <w:r>
        <w:rPr>
          <w:sz w:val="22"/>
        </w:rPr>
      </w:r>
    </w:p>
    <w:p>
      <w:pPr>
        <w:pStyle w:val="BodyTextIndent"/>
        <w:numPr>
          <w:ilvl w:val="2"/>
          <w:numId w:val="4"/>
        </w:numPr>
        <w:tabs>
          <w:tab w:val="clear" w:pos="720"/>
        </w:tabs>
        <w:ind w:hanging="360" w:start="1440" w:end="0"/>
        <w:rPr>
          <w:sz w:val="22"/>
        </w:rPr>
      </w:pPr>
      <w:r>
        <w:rPr>
          <w:sz w:val="22"/>
        </w:rPr>
        <w:t>At the direction of the customer it would agree to sell a specified amount of power for a quoted price (as quoted by the service provider) in exchange for the promise that the customer would not use the power during the specified period.  Such a transaction could be confirmed using a signed fax, a recorded phone line or an online device.  The formula for the customers’ net proceeds would be known in advance, i.e. posted on-line or published in the tariff.</w:t>
      </w:r>
    </w:p>
    <w:p>
      <w:pPr>
        <w:pStyle w:val="BodyTextIndent"/>
        <w:ind w:start="1440" w:end="0"/>
        <w:rPr>
          <w:sz w:val="22"/>
        </w:rPr>
      </w:pPr>
      <w:r>
        <w:rPr>
          <w:sz w:val="22"/>
        </w:rPr>
      </w:r>
    </w:p>
    <w:p>
      <w:pPr>
        <w:pStyle w:val="Normal"/>
        <w:numPr>
          <w:ilvl w:val="2"/>
          <w:numId w:val="4"/>
        </w:numPr>
        <w:tabs>
          <w:tab w:val="clear" w:pos="720"/>
        </w:tabs>
        <w:ind w:hanging="360" w:start="1440" w:end="0"/>
        <w:rPr>
          <w:sz w:val="22"/>
        </w:rPr>
      </w:pPr>
      <w:r>
        <w:rPr>
          <w:sz w:val="22"/>
        </w:rPr>
        <w:t>The utility (or CDWR)—which actually controls or has title to the released power—would either sell the power to the identified service provider or have the option to sell it to another entity for a higher price.</w:t>
      </w:r>
    </w:p>
    <w:p>
      <w:pPr>
        <w:pStyle w:val="Normal"/>
        <w:ind w:start="1440" w:end="0"/>
        <w:rPr>
          <w:sz w:val="22"/>
        </w:rPr>
      </w:pPr>
      <w:r>
        <w:rPr>
          <w:sz w:val="22"/>
        </w:rPr>
      </w:r>
    </w:p>
    <w:p>
      <w:pPr>
        <w:pStyle w:val="Normal"/>
        <w:numPr>
          <w:ilvl w:val="2"/>
          <w:numId w:val="4"/>
        </w:numPr>
        <w:tabs>
          <w:tab w:val="clear" w:pos="720"/>
        </w:tabs>
        <w:ind w:hanging="360" w:start="1440" w:end="0"/>
        <w:rPr>
          <w:sz w:val="22"/>
        </w:rPr>
      </w:pPr>
      <w:r>
        <w:rPr>
          <w:sz w:val="22"/>
        </w:rPr>
        <w:t>The utility (or CDWR) would receive cash from the buyer in the market and transfer the proceeds to the customer using the normal billing procedures.  The utility tariff would have to address how payment default risk is handled in the event the wholesale buyer fails to pay.</w:t>
      </w:r>
    </w:p>
    <w:p>
      <w:pPr>
        <w:pStyle w:val="Normal"/>
        <w:ind w:start="1440" w:end="0"/>
        <w:rPr>
          <w:sz w:val="22"/>
        </w:rPr>
      </w:pPr>
      <w:r>
        <w:rPr>
          <w:sz w:val="22"/>
        </w:rPr>
      </w:r>
    </w:p>
    <w:p>
      <w:pPr>
        <w:pStyle w:val="Normal"/>
        <w:numPr>
          <w:ilvl w:val="2"/>
          <w:numId w:val="4"/>
        </w:numPr>
        <w:tabs>
          <w:tab w:val="clear" w:pos="720"/>
        </w:tabs>
        <w:ind w:hanging="360" w:start="1440" w:end="0"/>
        <w:rPr>
          <w:sz w:val="22"/>
        </w:rPr>
      </w:pPr>
      <w:r>
        <w:rPr>
          <w:sz w:val="22"/>
        </w:rPr>
        <w:t>The utility tariff would include a provision for liquidated damages tied to a wholesale reference price for failure of the customer to perform.  An additional penalty for failing to reduce load may also be appropriate.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64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sz w:val="20"/>
      <w:u w:val="single"/>
    </w:rPr>
  </w:style>
  <w:style w:type="paragraph" w:styleId="Heading3">
    <w:name w:val="heading 3"/>
    <w:basedOn w:val="Normal"/>
    <w:next w:val="Normal"/>
    <w:qFormat/>
    <w:pPr>
      <w:keepNext w:val="true"/>
      <w:numPr>
        <w:ilvl w:val="2"/>
        <w:numId w:val="1"/>
      </w:numPr>
      <w:outlineLvl w:val="2"/>
    </w:pPr>
    <w:rPr>
      <w:b/>
      <w:bCs/>
      <w:i/>
      <w:iCs/>
      <w:sz w:val="20"/>
    </w:rPr>
  </w:style>
  <w:style w:type="paragraph" w:styleId="Heading6">
    <w:name w:val="heading 6"/>
    <w:basedOn w:val="Normal"/>
    <w:next w:val="Normal"/>
    <w:qFormat/>
    <w:pPr>
      <w:keepNext w:val="true"/>
      <w:numPr>
        <w:ilvl w:val="5"/>
        <w:numId w:val="1"/>
      </w:numPr>
      <w:jc w:val="center"/>
      <w:outlineLvl w:val="5"/>
    </w:pPr>
    <w:rPr>
      <w:b/>
      <w:smallCap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1">
    <w:name w:val="WW8Num6z1"/>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2001-04-27T18:12:00Z</dcterms:created>
  <dc:creator>tbriggs</dc:creator>
  <dc:description/>
  <dc:language>en-CA</dc:language>
  <cp:lastModifiedBy>jdasovic</cp:lastModifiedBy>
  <cp:lastPrinted>2001-04-27T17:22:00Z</cp:lastPrinted>
  <dcterms:modified xsi:type="dcterms:W3CDTF">2001-04-27T20:07:00Z</dcterms:modified>
  <cp:revision>13</cp:revision>
  <dc:subject/>
  <dc:title>Federal Demand Buy-Down “Negawatt” Proposal</dc:title>
</cp:coreProperties>
</file>