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b/>
        </w:rPr>
      </w:pPr>
      <w:r>
        <w:rPr>
          <w:b/>
        </w:rPr>
        <w:t>Paragraph 13.  Elections and Variables</w:t>
      </w:r>
    </w:p>
    <w:p>
      <w:pPr>
        <w:pStyle w:val="Normal"/>
        <w:tabs>
          <w:tab w:val="clear" w:pos="720"/>
          <w:tab w:val="left" w:pos="-1440" w:leader="none"/>
          <w:tab w:val="left" w:pos="-720" w:leader="none"/>
        </w:tabs>
        <w:suppressAutoHyphens w:val="true"/>
        <w:rPr/>
      </w:pPr>
      <w:r>
        <w:rPr/>
      </w:r>
    </w:p>
    <w:p>
      <w:pPr>
        <w:pStyle w:val="Normal"/>
        <w:rPr/>
      </w:pPr>
      <w:r>
        <w:rPr>
          <w:b/>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acknowledgement in the final sentence of Paragraph 8(a) and the representations in Paragraph 9, (d) only Party B will be required to make Transfers of Eligible Credit Support hereunder and (e) Paragraph 5 will not apply.</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w:t>
      </w:r>
      <w:r>
        <w:rPr>
          <w:b/>
          <w:i/>
        </w:rPr>
        <w:tab/>
        <w:t xml:space="preserve">Security Interest for </w:t>
      </w:r>
      <w:r>
        <w:rPr/>
        <w:t>"</w:t>
      </w:r>
      <w:r>
        <w:rPr>
          <w:b/>
          <w:i/>
        </w:rPr>
        <w:t>Obligations</w:t>
      </w:r>
      <w:r>
        <w:rPr/>
        <w:t>"</w:t>
      </w:r>
      <w:r>
        <w:rPr>
          <w:b/>
          <w:i/>
        </w:rPr>
        <w:t>.</w:t>
      </w:r>
      <w:r>
        <w:rPr/>
        <w:t xml:space="preserve">  In lieu of the definition provided in Paragraph 12, the term "</w:t>
      </w:r>
      <w:r>
        <w:rPr>
          <w:b/>
          <w:i/>
        </w:rPr>
        <w:t>Obligations</w:t>
      </w:r>
      <w:r>
        <w:rPr/>
        <w:t>" as used in this Annex means, with respect to Party B, all present and future obligations of Party B under the U.S. Dollar-Denominated Confirmation dated as of May 24, 2001, and with respect to Party A, is not applicable.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(b)</w:t>
      </w:r>
      <w:r>
        <w:rPr>
          <w:b/>
          <w:i/>
        </w:rPr>
        <w:tab/>
        <w:t>Credit Support Obligations.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  </w:t>
      </w:r>
      <w:r>
        <w:rPr>
          <w:b/>
          <w:i/>
        </w:rPr>
        <w:t>Delivery Amount, Return Amount and Credit Support Amount.</w:t>
      </w:r>
    </w:p>
    <w:p>
      <w:pPr>
        <w:pStyle w:val="Normal"/>
        <w:tabs>
          <w:tab w:val="clear" w:pos="720"/>
          <w:tab w:val="left" w:pos="-1440" w:leader="none"/>
          <w:tab w:val="left" w:pos="-720" w:leader="none"/>
        </w:tabs>
        <w:suppressAutoHyphens w:val="true"/>
        <w:rPr/>
      </w:pPr>
      <w:r>
        <w:rPr/>
      </w:r>
    </w:p>
    <w:p>
      <w:pPr>
        <w:pStyle w:val="Normal"/>
        <w:tabs>
          <w:tab w:val="left" w:pos="-1440" w:leader="none"/>
          <w:tab w:val="left" w:pos="-720" w:leader="none"/>
          <w:tab w:val="left" w:pos="0" w:leader="none"/>
          <w:tab w:val="left" w:pos="720" w:leader="none"/>
        </w:tabs>
        <w:suppressAutoHyphens w:val="true"/>
        <w:ind w:hanging="1440" w:start="1440" w:end="0"/>
        <w:rPr/>
      </w:pPr>
      <w:r>
        <w:rPr/>
        <w:tab/>
        <w:tab/>
        <w:t>(A)</w:t>
        <w:tab/>
        <w:t>"</w:t>
      </w:r>
      <w:r>
        <w:rPr>
          <w:b/>
          <w:i/>
        </w:rPr>
        <w:t>Delivery Amount</w:t>
      </w:r>
      <w:r>
        <w:rPr/>
        <w:t>" has the meaning specified in Paragraph 3(a).</w:t>
      </w:r>
    </w:p>
    <w:p>
      <w:pPr>
        <w:pStyle w:val="Normal"/>
        <w:tabs>
          <w:tab w:val="clear" w:pos="720"/>
          <w:tab w:val="left" w:pos="-1440" w:leader="none"/>
          <w:tab w:val="left" w:pos="-720" w:leader="none"/>
        </w:tabs>
        <w:suppressAutoHyphens w:val="true"/>
        <w:rPr/>
      </w:pPr>
      <w:r>
        <w:rPr/>
      </w:r>
    </w:p>
    <w:p>
      <w:pPr>
        <w:pStyle w:val="Normal"/>
        <w:tabs>
          <w:tab w:val="left" w:pos="-1440" w:leader="none"/>
          <w:tab w:val="left" w:pos="-720" w:leader="none"/>
          <w:tab w:val="left" w:pos="0" w:leader="none"/>
          <w:tab w:val="left" w:pos="720" w:leader="none"/>
        </w:tabs>
        <w:suppressAutoHyphens w:val="true"/>
        <w:ind w:hanging="1440" w:start="1440" w:end="0"/>
        <w:rPr/>
      </w:pPr>
      <w:r>
        <w:rPr/>
        <w:tab/>
        <w:tab/>
        <w:t xml:space="preserve">(B)  </w:t>
        <w:tab/>
        <w:t>"</w:t>
      </w:r>
      <w:r>
        <w:rPr>
          <w:b/>
          <w:i/>
        </w:rPr>
        <w:t>Return Amount</w:t>
      </w:r>
      <w:r>
        <w:rPr/>
        <w:t>" has the meaning specified in Paragraph 3(b).</w:t>
      </w:r>
    </w:p>
    <w:p>
      <w:pPr>
        <w:pStyle w:val="Normal"/>
        <w:tabs>
          <w:tab w:val="clear" w:pos="720"/>
          <w:tab w:val="left" w:pos="-1440" w:leader="none"/>
          <w:tab w:val="left" w:pos="-720" w:leader="none"/>
        </w:tabs>
        <w:suppressAutoHyphens w:val="true"/>
        <w:rPr/>
      </w:pPr>
      <w:r>
        <w:rPr/>
      </w:r>
    </w:p>
    <w:p>
      <w:pPr>
        <w:pStyle w:val="Normal"/>
        <w:ind w:hanging="720" w:start="2160" w:end="0"/>
        <w:rPr/>
      </w:pPr>
      <w:r>
        <w:rPr/>
        <w:t xml:space="preserve">(C)  </w:t>
        <w:tab/>
        <w:t>"</w:t>
      </w:r>
      <w:r>
        <w:rPr>
          <w:b/>
          <w:i/>
        </w:rPr>
        <w:t>Credit Support Amount</w:t>
      </w:r>
      <w:r>
        <w:rPr/>
        <w:t xml:space="preserve">" has the meaning specified in Paragraph 3; </w:t>
      </w:r>
      <w:r>
        <w:rPr>
          <w:i/>
        </w:rPr>
        <w:t>provided</w:t>
      </w:r>
      <w:r>
        <w:rPr/>
        <w:t xml:space="preserve"> that in calculating the "Credit Support Amount" for any Valuation Date with respect to Party A as the Secured Party, the Secured Party's Exposure shall be deemed to be equal to the Net Termination Amount as of that Valuation Date (determined as if Party B were the Defaulting Party and that Valuation Date were the Windup Date).</w:t>
      </w:r>
    </w:p>
    <w:p>
      <w:pPr>
        <w:pStyle w:val="Normal"/>
        <w:tabs>
          <w:tab w:val="clear" w:pos="720"/>
          <w:tab w:val="left" w:pos="-1440" w:leader="none"/>
          <w:tab w:val="left" w:pos="-720" w:leader="none"/>
          <w:tab w:val="left" w:pos="0" w:leader="none"/>
        </w:tabs>
        <w:suppressAutoHyphens w:val="true"/>
        <w:ind w:hanging="720" w:start="720" w:end="0"/>
        <w:rPr/>
      </w:pPr>
      <w:r>
        <w:rPr/>
        <w:tab/>
      </w:r>
    </w:p>
    <w:p>
      <w:pPr>
        <w:pStyle w:val="Normal"/>
        <w:numPr>
          <w:ilvl w:val="0"/>
          <w:numId w:val="3"/>
        </w:numPr>
        <w:tabs>
          <w:tab w:val="clear" w:pos="720"/>
          <w:tab w:val="left" w:pos="-1440" w:leader="none"/>
          <w:tab w:val="left" w:pos="-720" w:leader="none"/>
          <w:tab w:val="left" w:pos="0" w:leader="none"/>
          <w:tab w:val="left" w:pos="1080" w:leader="none"/>
        </w:tabs>
        <w:suppressAutoHyphens w:val="true"/>
        <w:rPr/>
      </w:pPr>
      <w:r>
        <w:rPr/>
        <w:t>"</w:t>
      </w:r>
      <w:r>
        <w:rPr>
          <w:b/>
          <w:i/>
        </w:rPr>
        <w:t>Eligible Collateral</w:t>
      </w:r>
      <w:r>
        <w:rPr/>
        <w:t>"</w:t>
      </w:r>
    </w:p>
    <w:p>
      <w:pPr>
        <w:pStyle w:val="Normal"/>
        <w:tabs>
          <w:tab w:val="clear" w:pos="720"/>
          <w:tab w:val="left" w:pos="-1440" w:leader="none"/>
          <w:tab w:val="left" w:pos="-720" w:leader="none"/>
          <w:tab w:val="left" w:pos="0" w:leader="none"/>
        </w:tabs>
        <w:suppressAutoHyphens w:val="true"/>
        <w:rPr/>
      </w:pPr>
      <w:r>
        <w:rPr/>
      </w:r>
    </w:p>
    <w:p>
      <w:pPr>
        <w:pStyle w:val="Normal"/>
        <w:keepNext w:val="true"/>
        <w:tabs>
          <w:tab w:val="left" w:pos="-720" w:leader="none"/>
          <w:tab w:val="left" w:pos="0" w:leader="none"/>
          <w:tab w:val="left" w:pos="720" w:leader="none"/>
        </w:tabs>
        <w:suppressAutoHyphens w:val="true"/>
        <w:ind w:hanging="1440" w:start="1440" w:end="0"/>
        <w:jc w:val="both"/>
        <w:rPr/>
      </w:pPr>
      <w:r>
        <w:rPr/>
        <w:tab/>
        <w:t>The following items will qualify as "</w:t>
      </w:r>
      <w:r>
        <w:rPr>
          <w:b/>
          <w:i/>
        </w:rPr>
        <w:t>Eligible Collateral</w:t>
      </w:r>
      <w:r>
        <w:rPr/>
        <w:t>" for the party specified:</w:t>
      </w:r>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Party B</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Valuation</w:t>
            </w:r>
          </w:p>
          <w:p>
            <w:pPr>
              <w:pStyle w:val="Normal"/>
              <w:keepNext w:val="true"/>
              <w:tabs>
                <w:tab w:val="clear" w:pos="720"/>
                <w:tab w:val="left" w:pos="-720" w:leader="none"/>
              </w:tabs>
              <w:suppressAutoHyphens w:val="true"/>
              <w:jc w:val="both"/>
              <w:rPr>
                <w:b/>
              </w:rPr>
            </w:pPr>
            <w:r>
              <w:rPr>
                <w:b/>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Cash</w:t>
              <w:tab/>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100%</w:t>
            </w:r>
          </w:p>
        </w:tc>
      </w:tr>
    </w:tbl>
    <w:p>
      <w:pPr>
        <w:pStyle w:val="Normal"/>
        <w:tabs>
          <w:tab w:val="left" w:pos="-720" w:leader="none"/>
          <w:tab w:val="left" w:pos="0" w:leader="none"/>
          <w:tab w:val="left" w:pos="720" w:leader="none"/>
        </w:tabs>
        <w:suppressAutoHyphens w:val="true"/>
        <w:ind w:hanging="1440" w:start="1440" w:end="0"/>
        <w:jc w:val="both"/>
        <w:rPr/>
      </w:pPr>
      <w:r>
        <w:rPr/>
      </w:r>
    </w:p>
    <w:p>
      <w:pPr>
        <w:pStyle w:val="Normal"/>
        <w:tabs>
          <w:tab w:val="left" w:pos="-720" w:leader="none"/>
          <w:tab w:val="left" w:pos="0" w:leader="none"/>
          <w:tab w:val="left" w:pos="720" w:leader="none"/>
          <w:tab w:val="left" w:pos="1170" w:leader="none"/>
        </w:tabs>
        <w:suppressAutoHyphens w:val="true"/>
        <w:ind w:hanging="720" w:start="720" w:end="0"/>
        <w:jc w:val="both"/>
        <w:rPr/>
      </w:pPr>
      <w:r>
        <w:rPr/>
        <w:tab/>
        <w:t>(iii)</w:t>
        <w:tab/>
      </w:r>
      <w:r>
        <w:rPr>
          <w:b/>
          <w:i/>
        </w:rPr>
        <w:t>Other Eligible Support</w:t>
      </w:r>
      <w:r>
        <w:rPr>
          <w:b/>
        </w:rPr>
        <w:t>.</w:t>
      </w:r>
      <w:r>
        <w:rPr/>
        <w:t xml:space="preserve">  There shall be no "</w:t>
      </w:r>
      <w:r>
        <w:rPr>
          <w:b/>
          <w:i/>
        </w:rPr>
        <w:t>Other Eligible Support</w:t>
      </w:r>
      <w:r>
        <w:rPr/>
        <w:t>" for either party for purposes of this Credit Support Annex.</w:t>
        <w:tab/>
      </w:r>
    </w:p>
    <w:p>
      <w:pPr>
        <w:pStyle w:val="Normal"/>
        <w:tabs>
          <w:tab w:val="left" w:pos="-720" w:leader="none"/>
          <w:tab w:val="left" w:pos="0" w:leader="none"/>
          <w:tab w:val="left" w:pos="720" w:leader="none"/>
        </w:tabs>
        <w:suppressAutoHyphens w:val="true"/>
        <w:ind w:hanging="720" w:start="720" w:end="0"/>
        <w:jc w:val="both"/>
        <w:rPr/>
      </w:pPr>
      <w:r>
        <w:rPr/>
      </w:r>
    </w:p>
    <w:p>
      <w:pPr>
        <w:pStyle w:val="Normal"/>
        <w:tabs>
          <w:tab w:val="left" w:pos="-720" w:leader="none"/>
          <w:tab w:val="left" w:pos="0" w:leader="none"/>
          <w:tab w:val="left" w:pos="720" w:leader="none"/>
          <w:tab w:val="left" w:pos="1170" w:leader="none"/>
        </w:tabs>
        <w:suppressAutoHyphens w:val="true"/>
        <w:ind w:hanging="720" w:start="720" w:end="0"/>
        <w:jc w:val="both"/>
        <w:rPr/>
      </w:pPr>
      <w:r>
        <w:rPr/>
        <w:tab/>
        <w:t>(iv)</w:t>
        <w:tab/>
      </w:r>
      <w:r>
        <w:rPr>
          <w:b/>
          <w:i/>
        </w:rPr>
        <w:t>Thresholds.</w:t>
      </w:r>
    </w:p>
    <w:p>
      <w:pPr>
        <w:pStyle w:val="Normal"/>
        <w:keepNext w:val="true"/>
        <w:keepLines/>
        <w:tabs>
          <w:tab w:val="clear" w:pos="720"/>
          <w:tab w:val="left" w:pos="-1440" w:leader="none"/>
          <w:tab w:val="left" w:pos="-720" w:leader="none"/>
        </w:tabs>
        <w:suppressAutoHyphens w:val="true"/>
        <w:rPr/>
      </w:pPr>
      <w:r>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pPr>
      <w:r>
        <w:rPr/>
        <w:tab/>
        <w:tab/>
        <w:t>(A)</w:t>
      </w:r>
      <w:r>
        <w:rPr>
          <w:b/>
          <w:i/>
        </w:rPr>
        <w:tab/>
      </w:r>
      <w:r>
        <w:rPr/>
        <w:t>"</w:t>
      </w:r>
      <w:r>
        <w:rPr>
          <w:b/>
          <w:i/>
        </w:rPr>
        <w:t>Independent Amount</w:t>
      </w:r>
      <w:r>
        <w:rPr/>
        <w:t>" means with respect to Party B:  U.S.$2,000,000.</w:t>
      </w:r>
    </w:p>
    <w:p>
      <w:pPr>
        <w:pStyle w:val="Normal"/>
        <w:keepNext w:val="true"/>
        <w:keepLines/>
        <w:tabs>
          <w:tab w:val="clear" w:pos="720"/>
          <w:tab w:val="left" w:pos="-1440" w:leader="none"/>
          <w:tab w:val="left" w:pos="-720" w:leader="none"/>
        </w:tabs>
        <w:suppressAutoHyphens w:val="true"/>
        <w:rPr/>
      </w:pPr>
      <w:r>
        <w:rPr/>
      </w:r>
    </w:p>
    <w:p>
      <w:pPr>
        <w:pStyle w:val="Normal"/>
        <w:rPr/>
      </w:pPr>
      <w:r>
        <w:rPr/>
        <w:tab/>
        <w:tab/>
        <w:t>(B)</w:t>
      </w:r>
      <w:r>
        <w:rPr>
          <w:b/>
          <w:i/>
        </w:rPr>
        <w:tab/>
      </w:r>
      <w:r>
        <w:rPr/>
        <w:t>"</w:t>
      </w:r>
      <w:r>
        <w:rPr>
          <w:b/>
          <w:i/>
        </w:rPr>
        <w:t>Threshold</w:t>
      </w:r>
      <w:r>
        <w:rPr/>
        <w:t>" means with respect to Party B:  U.S. $0.</w:t>
      </w:r>
    </w:p>
    <w:p>
      <w:pPr>
        <w:pStyle w:val="Normal"/>
        <w:tabs>
          <w:tab w:val="clear" w:pos="720"/>
          <w:tab w:val="left" w:pos="-1440" w:leader="none"/>
          <w:tab w:val="left" w:pos="-720" w:leader="none"/>
        </w:tabs>
        <w:suppressAutoHyphens w:val="true"/>
        <w:rPr/>
      </w:pPr>
      <w:r>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pPr>
      <w:r>
        <w:rPr/>
        <w:tab/>
        <w:tab/>
        <w:t>(C)</w:t>
      </w:r>
      <w:r>
        <w:rPr>
          <w:b/>
          <w:i/>
        </w:rPr>
        <w:tab/>
      </w:r>
      <w:r>
        <w:rPr/>
        <w:t>"</w:t>
      </w:r>
      <w:r>
        <w:rPr>
          <w:b/>
          <w:i/>
        </w:rPr>
        <w:t>Minimum Transfer Amount</w:t>
      </w:r>
      <w:r>
        <w:rPr/>
        <w:t xml:space="preserve">" means, with respect to Party B, U.S.$500,000; </w:t>
      </w:r>
      <w:r>
        <w:rPr>
          <w:i/>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rPr/>
      </w:pPr>
      <w:r>
        <w:rPr/>
      </w:r>
    </w:p>
    <w:p>
      <w:pPr>
        <w:pStyle w:val="Normal"/>
        <w:ind w:hanging="720" w:start="2160" w:end="0"/>
        <w:rPr/>
      </w:pPr>
      <w:r>
        <w:rPr/>
        <w:t>(D)</w:t>
      </w:r>
      <w:r>
        <w:rPr>
          <w:b/>
        </w:rPr>
        <w:tab/>
        <w:t xml:space="preserve">Rounding. </w:t>
      </w:r>
      <w:r>
        <w:rPr/>
        <w:t>The Delivery Amount and the Return Amount will be rounded up and down to the nearest integral multiple of $1,000, respectively, with $500 being rounded up.</w:t>
      </w:r>
    </w:p>
    <w:p>
      <w:pPr>
        <w:pStyle w:val="Normal"/>
        <w:keepNext w:val="true"/>
        <w:keepLines/>
        <w:tabs>
          <w:tab w:val="clear" w:pos="720"/>
          <w:tab w:val="left" w:pos="-1440" w:leader="none"/>
          <w:tab w:val="left" w:pos="-720" w:leader="none"/>
          <w:tab w:val="left" w:pos="0" w:leader="none"/>
        </w:tabs>
        <w:suppressAutoHyphens w:val="true"/>
        <w:ind w:hanging="720" w:start="720" w:end="0"/>
        <w:rPr/>
      </w:pPr>
      <w:r>
        <w:rPr/>
      </w:r>
    </w:p>
    <w:p>
      <w:pPr>
        <w:pStyle w:val="Normal"/>
        <w:tabs>
          <w:tab w:val="clear" w:pos="720"/>
          <w:tab w:val="left" w:pos="-1440" w:leader="none"/>
          <w:tab w:val="left" w:pos="-720" w:leader="none"/>
          <w:tab w:val="left" w:pos="0" w:leader="none"/>
        </w:tabs>
        <w:suppressAutoHyphens w:val="true"/>
        <w:ind w:hanging="720" w:start="720" w:end="0"/>
        <w:rPr/>
      </w:pPr>
      <w:r>
        <w:rPr/>
        <w:t>(c)</w:t>
      </w:r>
      <w:r>
        <w:rPr>
          <w:b/>
          <w:i/>
        </w:rPr>
        <w:tab/>
        <w:t>Valuation and Timing.</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  "</w:t>
      </w:r>
      <w:r>
        <w:rPr>
          <w:b/>
          <w:i/>
        </w:rPr>
        <w:t>Valuation Agent</w:t>
      </w:r>
      <w:r>
        <w:rPr/>
        <w:t>" means the Calculation Agent.</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(ii)  "</w:t>
      </w:r>
      <w:r>
        <w:rPr>
          <w:b/>
          <w:i/>
        </w:rPr>
        <w:t>Valuation Date</w:t>
      </w:r>
      <w:r>
        <w:rPr/>
        <w:t>" means each day that is a Local Business Day for both Party A and Party B.</w:t>
      </w:r>
    </w:p>
    <w:p>
      <w:pPr>
        <w:pStyle w:val="Normal"/>
        <w:tabs>
          <w:tab w:val="clear" w:pos="720"/>
          <w:tab w:val="left" w:pos="-1440" w:leader="none"/>
          <w:tab w:val="left" w:pos="-720" w:leader="none"/>
        </w:tabs>
        <w:suppressAutoHyphens w:val="true"/>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tab/>
        <w:t>(iii)  "</w:t>
      </w:r>
      <w:r>
        <w:rPr>
          <w:b/>
          <w:i/>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rPr>
        <w:t>provided</w:t>
      </w:r>
      <w:r>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(iv)  "</w:t>
      </w:r>
      <w:r>
        <w:rPr>
          <w:b/>
          <w:i/>
        </w:rPr>
        <w:t>Notification Time</w:t>
      </w:r>
      <w:r>
        <w:rPr/>
        <w:t>" means 1:00 p.m., New York time, on a Local Business Day.</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(d)</w:t>
      </w:r>
      <w:r>
        <w:rPr>
          <w:b/>
          <w:i/>
        </w:rPr>
        <w:tab/>
        <w:t>Conditions Precedent and Secured Party’s Rights and Remedies.</w:t>
      </w:r>
      <w:r>
        <w:rPr/>
        <w:t xml:space="preserve">  The following Termination Event(s) will be a "</w:t>
      </w:r>
      <w:r>
        <w:rPr>
          <w:b/>
          <w:i/>
        </w:rPr>
        <w:t>Specified Condition</w:t>
      </w:r>
      <w:r>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Credit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YES</w:t>
            </w:r>
          </w:p>
        </w:tc>
      </w:tr>
    </w:tbl>
    <w:p>
      <w:pPr>
        <w:pStyle w:val="Normal"/>
        <w:keepNext w:val="true"/>
        <w:tabs>
          <w:tab w:val="clear" w:pos="720"/>
          <w:tab w:val="left" w:pos="-1440" w:leader="none"/>
          <w:tab w:val="left" w:pos="-720" w:leader="none"/>
        </w:tabs>
        <w:suppressAutoHyphens w:val="true"/>
        <w:ind w:start="1080" w:end="360"/>
        <w:rPr/>
      </w:pPr>
      <w:r>
        <w:rPr/>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pPr>
      <w:r>
        <w:rPr/>
        <w:t>(e)</w:t>
      </w:r>
      <w:r>
        <w:rPr>
          <w:b/>
          <w:i/>
        </w:rPr>
        <w:tab/>
        <w:t>Substitution.</w:t>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ab/>
        <w:t>(i)  "</w:t>
      </w:r>
      <w:r>
        <w:rPr>
          <w:b/>
          <w:i/>
        </w:rPr>
        <w:t>Substitution Date</w:t>
      </w:r>
      <w:r>
        <w:rPr/>
        <w:t>" has the meaning specified in Paragraph 4(d)(ii).</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(ii)  </w:t>
      </w:r>
      <w:r>
        <w:rPr>
          <w:b/>
          <w:i/>
        </w:rPr>
        <w:t>Consent.</w:t>
      </w:r>
      <w:r>
        <w:rPr/>
        <w:t xml:space="preserve">  If specified here as applicable, then the Pledgor must obtain the Secured Party’s consent for any substitution pursuant to Paragraph 4(d):  Applicable.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b/>
        </w:rPr>
      </w:pPr>
      <w:r>
        <w:rPr/>
        <w:t>(f)</w:t>
      </w:r>
      <w:r>
        <w:rPr>
          <w:b/>
          <w:i/>
        </w:rPr>
        <w:tab/>
        <w:t>(This paragraph is intentionally left blank)</w:t>
      </w:r>
    </w:p>
    <w:p>
      <w:pPr>
        <w:pStyle w:val="Normal"/>
        <w:tabs>
          <w:tab w:val="clear" w:pos="720"/>
          <w:tab w:val="left" w:pos="-1440" w:leader="none"/>
          <w:tab w:val="left" w:pos="-720" w:leader="none"/>
        </w:tabs>
        <w:suppressAutoHyphens w:val="true"/>
        <w:rPr>
          <w:b/>
        </w:rPr>
      </w:pPr>
      <w:r>
        <w:rPr>
          <w:b/>
        </w:rPr>
      </w:r>
    </w:p>
    <w:p>
      <w:pPr>
        <w:pStyle w:val="Normal"/>
        <w:keepNext w:val="true"/>
        <w:tabs>
          <w:tab w:val="clear" w:pos="720"/>
          <w:tab w:val="left" w:pos="-1440" w:leader="none"/>
          <w:tab w:val="left" w:pos="-720" w:leader="none"/>
          <w:tab w:val="left" w:pos="0" w:leader="none"/>
        </w:tabs>
        <w:suppressAutoHyphens w:val="true"/>
        <w:ind w:hanging="720" w:start="720" w:end="0"/>
        <w:rPr/>
      </w:pPr>
      <w:r>
        <w:rPr/>
        <w:t>(g)</w:t>
      </w:r>
      <w:r>
        <w:rPr>
          <w:b/>
          <w:i/>
        </w:rPr>
        <w:tab/>
        <w:t>Holding and Using Posted Collateral.</w:t>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pPr>
      <w:r>
        <w:rPr/>
        <w:tab/>
        <w:t xml:space="preserve">(i)  </w:t>
      </w:r>
      <w:r>
        <w:rPr>
          <w:b/>
          <w:i/>
        </w:rPr>
        <w:t xml:space="preserve">Eligibility to Hold Posted Collateral; Custodians.  </w:t>
      </w:r>
      <w:r>
        <w:rPr/>
        <w:t xml:space="preserve">Party A and its Custodian will be entitled to hold Posted Collateral pursuant to Paragraph 6(b); </w:t>
      </w:r>
      <w:r>
        <w:rPr>
          <w:i/>
        </w:rPr>
        <w:t>provided</w:t>
      </w:r>
      <w:r>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rPr/>
      </w:pPr>
      <w:r>
        <w:rPr/>
      </w:r>
    </w:p>
    <w:p>
      <w:pPr>
        <w:pStyle w:val="Normal"/>
        <w:keepNext w:val="true"/>
        <w:numPr>
          <w:ilvl w:val="0"/>
          <w:numId w:val="2"/>
        </w:numPr>
        <w:tabs>
          <w:tab w:val="clear" w:pos="720"/>
          <w:tab w:val="left" w:pos="-1440" w:leader="none"/>
          <w:tab w:val="left" w:pos="-720" w:leader="none"/>
          <w:tab w:val="left" w:pos="0" w:leader="none"/>
        </w:tabs>
        <w:suppressAutoHyphens w:val="true"/>
        <w:rPr/>
      </w:pPr>
      <w:r>
        <w:rPr/>
        <w:t>Party A is not a Defaulting Party.</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numPr>
          <w:ilvl w:val="0"/>
          <w:numId w:val="2"/>
        </w:numPr>
        <w:tabs>
          <w:tab w:val="clear" w:pos="720"/>
          <w:tab w:val="left" w:pos="-1440" w:leader="none"/>
          <w:tab w:val="left" w:pos="-720" w:leader="none"/>
          <w:tab w:val="left" w:pos="0" w:leader="none"/>
        </w:tabs>
        <w:suppressAutoHyphens w:val="true"/>
        <w:rPr/>
      </w:pPr>
      <w:r>
        <w:rPr/>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numPr>
          <w:ilvl w:val="0"/>
          <w:numId w:val="2"/>
        </w:numPr>
        <w:tabs>
          <w:tab w:val="clear" w:pos="720"/>
          <w:tab w:val="left" w:pos="-1440" w:leader="none"/>
          <w:tab w:val="left" w:pos="-720" w:leader="none"/>
          <w:tab w:val="left" w:pos="0" w:leader="none"/>
        </w:tabs>
        <w:suppressAutoHyphens w:val="true"/>
        <w:rPr/>
      </w:pPr>
      <w:r>
        <w:rPr/>
        <w:t>Any Custodian must (i) be United States Trust Company of New York ,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(iii) have a combined capital and surplus of at least U.S.$5,000,000,000 and (iv) be approved by Party B.</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start="1440" w:end="0"/>
        <w:rPr/>
      </w:pPr>
      <w:r>
        <w:rPr/>
        <w:t xml:space="preserve">Initially, the </w:t>
      </w:r>
      <w:r>
        <w:rPr>
          <w:b/>
        </w:rPr>
        <w:t>Custodian</w:t>
      </w:r>
      <w:r>
        <w:rPr/>
        <w:t xml:space="preserve"> for Party A is:  None.</w:t>
      </w:r>
    </w:p>
    <w:p>
      <w:pPr>
        <w:pStyle w:val="Normal"/>
        <w:keepNext w:val="true"/>
        <w:tabs>
          <w:tab w:val="clear" w:pos="720"/>
          <w:tab w:val="left" w:pos="-1440" w:leader="none"/>
          <w:tab w:val="left" w:pos="-720" w:leader="none"/>
          <w:tab w:val="left" w:pos="0" w:leader="none"/>
        </w:tabs>
        <w:suppressAutoHyphens w:val="true"/>
        <w:ind w:hanging="720" w:start="720" w:end="0"/>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(ii)  </w:t>
      </w:r>
      <w:r>
        <w:rPr>
          <w:b/>
          <w:i/>
        </w:rPr>
        <w:t>Use of Posted Collateral.</w:t>
      </w:r>
      <w:r>
        <w:rPr/>
        <w:t xml:space="preserve">  The provisions of Paragraph 6(c)(i) will apply. </w:t>
      </w:r>
    </w:p>
    <w:p>
      <w:pPr>
        <w:pStyle w:val="Normal"/>
        <w:keepNext w:val="true"/>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(h)</w:t>
      </w:r>
      <w:r>
        <w:rPr>
          <w:b/>
          <w:i/>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rPr>
          <w:b/>
          <w:i/>
          <w:i/>
        </w:rPr>
      </w:pPr>
      <w:r>
        <w:rPr>
          <w:b/>
          <w:i/>
        </w:rPr>
      </w:r>
    </w:p>
    <w:p>
      <w:pPr>
        <w:pStyle w:val="Normal"/>
        <w:ind w:start="720" w:end="0"/>
        <w:rPr/>
      </w:pPr>
      <w:r>
        <w:rPr/>
        <w:t xml:space="preserve">(i)  </w:t>
      </w:r>
      <w:r>
        <w:rPr>
          <w:b/>
          <w:i/>
        </w:rPr>
        <w:t xml:space="preserve">Interest Rate.  </w:t>
      </w:r>
      <w:r>
        <w:rPr/>
        <w:t>The "</w:t>
      </w:r>
      <w:r>
        <w:rPr>
          <w:b/>
          <w:i/>
        </w:rPr>
        <w:t>Interest Rate</w:t>
      </w:r>
      <w:r>
        <w:rPr/>
        <w:t>" will be the Federal Funds Rate minus 25 basis points.  "</w:t>
      </w:r>
      <w:r>
        <w:rPr>
          <w:b/>
          <w:i/>
        </w:rPr>
        <w:t>Federal Funds Rate</w:t>
      </w:r>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r>
        <w:rPr>
          <w:b/>
          <w:i/>
        </w:rPr>
        <w:t>H.15(519)</w:t>
      </w:r>
      <w:r>
        <w:rPr/>
        <w:t>" means the weekly statistical release designated as such, or any successor publication, published by the Board of Governors of the Federal Reserve System.  "</w:t>
      </w:r>
      <w:r>
        <w:rPr>
          <w:b/>
          <w:i/>
        </w:rPr>
        <w:t>Composite 3:30 P.M. Quotations for U.S. Government Securities</w:t>
      </w:r>
      <w:r>
        <w:rPr/>
        <w:t>" means the daily statistical release designated as such, or any successor publication, published by the Federal Reserve Bank of New York.</w:t>
      </w:r>
    </w:p>
    <w:p>
      <w:pPr>
        <w:pStyle w:val="Normal"/>
        <w:tabs>
          <w:tab w:val="clear" w:pos="720"/>
          <w:tab w:val="left" w:pos="-1440" w:leader="none"/>
          <w:tab w:val="left" w:pos="-720" w:leader="none"/>
          <w:tab w:val="left" w:pos="0" w:leader="none"/>
        </w:tabs>
        <w:suppressAutoHyphens w:val="true"/>
        <w:ind w:hanging="720" w:start="720" w:end="0"/>
        <w:rPr/>
      </w:pPr>
      <w:r>
        <w:rPr/>
      </w:r>
    </w:p>
    <w:p>
      <w:pPr>
        <w:pStyle w:val="Normal"/>
        <w:numPr>
          <w:ilvl w:val="0"/>
          <w:numId w:val="6"/>
        </w:numPr>
        <w:tabs>
          <w:tab w:val="left" w:pos="-1440" w:leader="none"/>
          <w:tab w:val="left" w:pos="-720" w:leader="none"/>
          <w:tab w:val="left" w:pos="0" w:leader="none"/>
          <w:tab w:val="left" w:pos="720" w:leader="none"/>
          <w:tab w:val="left" w:pos="1080" w:leader="none"/>
        </w:tabs>
        <w:suppressAutoHyphens w:val="true"/>
        <w:ind w:hanging="0" w:start="720" w:end="0"/>
        <w:rPr/>
      </w:pPr>
      <w:r>
        <w:rPr>
          <w:b/>
          <w:i/>
        </w:rPr>
        <w:t>Transfer of Interest Amount.</w:t>
      </w:r>
      <w:r>
        <w:rPr/>
        <w:t xml:space="preserve">  The Transfer of the Interest Amount will be made on the 20</w:t>
      </w:r>
      <w:r>
        <w:rPr>
          <w:vertAlign w:val="superscript"/>
        </w:rPr>
        <w:t>th</w:t>
      </w:r>
      <w:r>
        <w:rPr/>
        <w:t xml:space="preserve"> day of each calendar month (or if such day is not a local Business Day as specified in the Confirmation dated as of May 24, 2001, on the next local Business Day), on any local Business Day that any Posted Collateral in the form of Cash is Transferred to the Pledgor pursuant to Paragraph 3(b) and on the "Cancellation Date" referred to in the U.S. Dollar-Denominated Confirmation dated as of May 24, 2001.</w:t>
      </w:r>
    </w:p>
    <w:p>
      <w:pPr>
        <w:pStyle w:val="Normal"/>
        <w:tabs>
          <w:tab w:val="clear" w:pos="720"/>
          <w:tab w:val="left" w:pos="-720" w:leader="none"/>
          <w:tab w:val="left" w:pos="0" w:leader="none"/>
        </w:tabs>
        <w:suppressAutoHyphens w:val="true"/>
        <w:jc w:val="both"/>
        <w:rPr>
          <w:b/>
          <w:i/>
          <w:i/>
        </w:rPr>
      </w:pPr>
      <w:r>
        <w:rPr>
          <w:b/>
          <w:i/>
        </w:rPr>
      </w:r>
    </w:p>
    <w:p>
      <w:pPr>
        <w:pStyle w:val="Normal"/>
        <w:tabs>
          <w:tab w:val="left" w:pos="-720" w:leader="none"/>
          <w:tab w:val="left" w:pos="0" w:leader="none"/>
          <w:tab w:val="left" w:pos="720" w:leader="none"/>
          <w:tab w:val="left" w:pos="1170" w:leader="none"/>
        </w:tabs>
        <w:suppressAutoHyphens w:val="true"/>
        <w:jc w:val="both"/>
        <w:rPr/>
      </w:pPr>
      <w:r>
        <w:rPr>
          <w:b/>
          <w:i/>
        </w:rPr>
        <w:tab/>
      </w:r>
      <w:r>
        <w:rPr/>
        <w:t>(iii)</w:t>
        <w:tab/>
      </w:r>
      <w:r>
        <w:rPr>
          <w:b/>
          <w:i/>
        </w:rPr>
        <w:t xml:space="preserve">Alternative to Interest Amount.  </w:t>
      </w:r>
      <w:r>
        <w:rPr/>
        <w:t>The provisions of Paragraph 6(d)(ii) will apply.</w:t>
      </w:r>
    </w:p>
    <w:p>
      <w:pPr>
        <w:pStyle w:val="Normal"/>
        <w:tabs>
          <w:tab w:val="clear" w:pos="720"/>
          <w:tab w:val="left" w:pos="-1440" w:leader="none"/>
          <w:tab w:val="left" w:pos="-720" w:leader="none"/>
          <w:tab w:val="left" w:pos="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r>
    </w:p>
    <w:p>
      <w:pPr>
        <w:pStyle w:val="Normal"/>
        <w:tabs>
          <w:tab w:val="clear" w:pos="720"/>
          <w:tab w:val="left" w:pos="-1440" w:leader="none"/>
          <w:tab w:val="left" w:pos="-720" w:leader="none"/>
          <w:tab w:val="left" w:pos="0" w:leader="none"/>
        </w:tabs>
        <w:suppressAutoHyphens w:val="true"/>
        <w:ind w:hanging="720" w:start="720" w:end="0"/>
        <w:rPr/>
      </w:pPr>
      <w:r>
        <w:rPr/>
        <w:t>(i)</w:t>
      </w:r>
      <w:r>
        <w:rPr>
          <w:b/>
          <w:i/>
        </w:rPr>
        <w:tab/>
        <w:t xml:space="preserve">Additional Representation(s).  </w:t>
      </w:r>
      <w:r>
        <w:rPr/>
        <w:t>None.</w:t>
      </w:r>
    </w:p>
    <w:p>
      <w:pPr>
        <w:pStyle w:val="Normal"/>
        <w:keepNext w:val="true"/>
        <w:tabs>
          <w:tab w:val="clear" w:pos="720"/>
          <w:tab w:val="left" w:pos="-1440" w:leader="none"/>
          <w:tab w:val="left" w:pos="-720" w:leader="none"/>
        </w:tabs>
        <w:suppressAutoHyphens w:val="true"/>
        <w:rPr/>
      </w:pPr>
      <w:r>
        <w:rPr/>
      </w:r>
    </w:p>
    <w:p>
      <w:pPr>
        <w:pStyle w:val="Normal"/>
        <w:keepNext w:val="true"/>
        <w:numPr>
          <w:ilvl w:val="0"/>
          <w:numId w:val="4"/>
        </w:numPr>
        <w:tabs>
          <w:tab w:val="clear" w:pos="720"/>
          <w:tab w:val="left" w:pos="-1440" w:leader="none"/>
          <w:tab w:val="left" w:pos="-720" w:leader="none"/>
          <w:tab w:val="left" w:pos="0" w:leader="none"/>
        </w:tabs>
        <w:suppressAutoHyphens w:val="true"/>
        <w:rPr>
          <w:b/>
          <w:i/>
          <w:i/>
        </w:rPr>
      </w:pPr>
      <w:r>
        <w:rPr>
          <w:b/>
          <w:i/>
        </w:rPr>
        <w:t>Other Eligible Support and Other Posted Support.</w:t>
      </w:r>
      <w:r>
        <w:rPr/>
        <w:t xml:space="preserve">  None.</w:t>
      </w:r>
    </w:p>
    <w:p>
      <w:pPr>
        <w:pStyle w:val="Normal"/>
        <w:keepNext w:val="true"/>
        <w:tabs>
          <w:tab w:val="clear" w:pos="720"/>
          <w:tab w:val="left" w:pos="-1440" w:leader="none"/>
          <w:tab w:val="left" w:pos="-720" w:leader="none"/>
          <w:tab w:val="left" w:pos="0" w:leader="none"/>
        </w:tabs>
        <w:suppressAutoHyphens w:val="true"/>
        <w:rPr>
          <w:b/>
          <w:i/>
          <w:i/>
        </w:rPr>
      </w:pPr>
      <w:r>
        <w:rPr>
          <w:b/>
          <w:i/>
        </w:rPr>
      </w:r>
    </w:p>
    <w:p>
      <w:pPr>
        <w:pStyle w:val="Normal"/>
        <w:tabs>
          <w:tab w:val="clear" w:pos="720"/>
          <w:tab w:val="left" w:pos="-1440" w:leader="none"/>
          <w:tab w:val="left" w:pos="-720" w:leader="none"/>
          <w:tab w:val="left" w:pos="0" w:leader="none"/>
        </w:tabs>
        <w:suppressAutoHyphens w:val="true"/>
        <w:ind w:hanging="720" w:start="720" w:end="0"/>
        <w:rPr>
          <w:b/>
          <w:i/>
          <w:i/>
        </w:rPr>
      </w:pPr>
      <w:r>
        <w:rPr>
          <w:b/>
          <w:i/>
        </w:rPr>
      </w:r>
    </w:p>
    <w:p>
      <w:pPr>
        <w:pStyle w:val="Normal"/>
        <w:tabs>
          <w:tab w:val="clear" w:pos="720"/>
          <w:tab w:val="left" w:pos="-1440" w:leader="none"/>
          <w:tab w:val="left" w:pos="-720" w:leader="none"/>
          <w:tab w:val="left" w:pos="0" w:leader="none"/>
        </w:tabs>
        <w:suppressAutoHyphens w:val="true"/>
        <w:ind w:hanging="720" w:start="720" w:end="0"/>
        <w:rPr/>
      </w:pPr>
      <w:r>
        <w:rPr/>
        <w:t>(k)</w:t>
      </w:r>
      <w:r>
        <w:rPr>
          <w:b/>
          <w:i/>
        </w:rPr>
        <w:tab/>
        <w:t>Demands and Notices.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All demands, specifications and notices under this Annex will be made pursuant to the Notices Section of this Agreement, unless otherwise specified here:</w:t>
      </w:r>
    </w:p>
    <w:p>
      <w:pPr>
        <w:pStyle w:val="Normal"/>
        <w:rPr/>
      </w:pPr>
      <w:r>
        <w:rPr/>
      </w:r>
    </w:p>
    <w:p>
      <w:pPr>
        <w:pStyle w:val="Normal"/>
        <w:tabs>
          <w:tab w:val="left" w:pos="-720" w:leader="none"/>
          <w:tab w:val="left" w:pos="0" w:leader="none"/>
          <w:tab w:val="left" w:pos="720" w:leader="none"/>
        </w:tabs>
        <w:suppressAutoHyphens w:val="true"/>
        <w:ind w:hanging="2160" w:start="2160" w:end="0"/>
        <w:rPr/>
      </w:pPr>
      <w:r>
        <w:rPr/>
        <w:tab/>
        <w:t>Party A:</w:t>
        <w:tab/>
        <w:t xml:space="preserve">As set forth in the U.S. Dollar-Denominated Confirmation dated as of May 24, 2001. </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2160" w:start="2160" w:end="0"/>
        <w:rPr/>
      </w:pPr>
      <w:r>
        <w:rPr/>
        <w:tab/>
        <w:t>Party B:</w:t>
        <w:tab/>
        <w:t>As set forth in the U.S. Dollar-Denominated Confirmation dated as of May 24, 2001 and with a copy to:</w:t>
      </w:r>
    </w:p>
    <w:p>
      <w:pPr>
        <w:pStyle w:val="Normal"/>
        <w:tabs>
          <w:tab w:val="clear" w:pos="720"/>
          <w:tab w:val="left" w:pos="-720" w:leader="none"/>
          <w:tab w:val="left" w:pos="0" w:leader="none"/>
        </w:tabs>
        <w:suppressAutoHyphens w:val="true"/>
        <w:ind w:hanging="720" w:start="720" w:end="0"/>
        <w:jc w:val="both"/>
        <w:rPr/>
      </w:pPr>
      <w:r>
        <w:rPr/>
      </w:r>
    </w:p>
    <w:p>
      <w:pPr>
        <w:pStyle w:val="Normal"/>
        <w:tabs>
          <w:tab w:val="clear" w:pos="720"/>
          <w:tab w:val="left" w:pos="-720" w:leader="none"/>
          <w:tab w:val="left" w:pos="0" w:leader="none"/>
        </w:tabs>
        <w:suppressAutoHyphens w:val="true"/>
        <w:ind w:hanging="720" w:start="720" w:end="0"/>
        <w:jc w:val="both"/>
        <w:rPr/>
      </w:pPr>
      <w:r>
        <w:rPr/>
        <w:tab/>
        <w:tab/>
        <w:tab/>
        <w:t>United States Trust Company of New York</w:t>
      </w:r>
    </w:p>
    <w:p>
      <w:pPr>
        <w:pStyle w:val="Normal"/>
        <w:tabs>
          <w:tab w:val="clear" w:pos="720"/>
          <w:tab w:val="left" w:pos="-720" w:leader="none"/>
          <w:tab w:val="left" w:pos="0" w:leader="none"/>
        </w:tabs>
        <w:suppressAutoHyphens w:val="true"/>
        <w:ind w:hanging="720" w:start="720" w:end="0"/>
        <w:jc w:val="both"/>
        <w:rPr/>
      </w:pPr>
      <w:r>
        <w:rPr/>
        <w:tab/>
        <w:tab/>
        <w:tab/>
        <w:t>114 West 47</w:t>
      </w:r>
      <w:r>
        <w:rPr>
          <w:vertAlign w:val="superscript"/>
        </w:rPr>
        <w:t>th</w:t>
      </w:r>
      <w:r>
        <w:rPr/>
        <w:t xml:space="preserve"> Street, 25</w:t>
      </w:r>
      <w:r>
        <w:rPr>
          <w:vertAlign w:val="superscript"/>
        </w:rPr>
        <w:t>th</w:t>
      </w:r>
      <w:r>
        <w:rPr/>
        <w:t xml:space="preserve"> Floor</w:t>
      </w:r>
    </w:p>
    <w:p>
      <w:pPr>
        <w:pStyle w:val="Normal"/>
        <w:tabs>
          <w:tab w:val="clear" w:pos="720"/>
          <w:tab w:val="left" w:pos="-720" w:leader="none"/>
          <w:tab w:val="left" w:pos="0" w:leader="none"/>
        </w:tabs>
        <w:suppressAutoHyphens w:val="true"/>
        <w:ind w:hanging="720" w:start="720" w:end="0"/>
        <w:jc w:val="both"/>
        <w:rPr/>
      </w:pPr>
      <w:r>
        <w:rPr/>
        <w:tab/>
        <w:tab/>
        <w:tab/>
        <w:t>New York, New York  10036</w:t>
      </w:r>
    </w:p>
    <w:p>
      <w:pPr>
        <w:pStyle w:val="Normal"/>
        <w:tabs>
          <w:tab w:val="clear" w:pos="720"/>
          <w:tab w:val="left" w:pos="-720" w:leader="none"/>
          <w:tab w:val="left" w:pos="0" w:leader="none"/>
        </w:tabs>
        <w:suppressAutoHyphens w:val="true"/>
        <w:ind w:hanging="720" w:start="720" w:end="0"/>
        <w:jc w:val="both"/>
        <w:rPr/>
      </w:pPr>
      <w:r>
        <w:rPr/>
        <w:tab/>
        <w:tab/>
        <w:tab/>
        <w:t>Attention:  Corporate Trust—Structured Products</w:t>
      </w:r>
    </w:p>
    <w:p>
      <w:pPr>
        <w:pStyle w:val="Normal"/>
        <w:rPr/>
      </w:pPr>
      <w:r>
        <w:rPr/>
      </w:r>
    </w:p>
    <w:p>
      <w:pPr>
        <w:pStyle w:val="Normal"/>
        <w:keepNext w:val="true"/>
        <w:keepLines/>
        <w:tabs>
          <w:tab w:val="clear" w:pos="720"/>
          <w:tab w:val="left" w:pos="-1440" w:leader="none"/>
          <w:tab w:val="left" w:pos="-720" w:leader="none"/>
          <w:tab w:val="left" w:pos="0" w:leader="none"/>
        </w:tabs>
        <w:suppressAutoHyphens w:val="true"/>
        <w:ind w:hanging="720" w:start="720" w:end="0"/>
        <w:rPr/>
      </w:pPr>
      <w:r>
        <w:rPr/>
        <w:t>(l)</w:t>
      </w:r>
      <w:r>
        <w:rPr>
          <w:b/>
          <w:i/>
        </w:rPr>
        <w:tab/>
        <w:t>Addresses for Transfers.</w:t>
      </w:r>
    </w:p>
    <w:p>
      <w:pPr>
        <w:pStyle w:val="Normal"/>
        <w:keepNext w:val="true"/>
        <w:keepLines/>
        <w:tabs>
          <w:tab w:val="clear" w:pos="720"/>
          <w:tab w:val="left" w:pos="-1440" w:leader="none"/>
          <w:tab w:val="left" w:pos="-720" w:leader="none"/>
        </w:tabs>
        <w:suppressAutoHyphens w:val="true"/>
        <w:rPr/>
      </w:pPr>
      <w:r>
        <w:rPr/>
      </w:r>
    </w:p>
    <w:p>
      <w:pPr>
        <w:pStyle w:val="BodyTextIndent"/>
        <w:rPr>
          <w:sz w:val="20"/>
        </w:rPr>
      </w:pPr>
      <w:r>
        <w:rPr>
          <w:sz w:val="20"/>
        </w:rPr>
        <w:t>Party A:</w:t>
        <w:tab/>
        <w:t xml:space="preserve">As set forth in demands and notices from one party to the other party from time to time. </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jc w:val="both"/>
        <w:rPr/>
      </w:pPr>
      <w:r>
        <w:rPr/>
        <w:tab/>
        <w:t>Party B:</w:t>
        <w:tab/>
        <w:tab/>
        <w:t>Chase NYC</w:t>
      </w:r>
    </w:p>
    <w:p>
      <w:pPr>
        <w:pStyle w:val="Normal"/>
        <w:tabs>
          <w:tab w:val="clear" w:pos="720"/>
          <w:tab w:val="left" w:pos="-720" w:leader="none"/>
        </w:tabs>
        <w:suppressAutoHyphens w:val="true"/>
        <w:jc w:val="both"/>
        <w:rPr/>
      </w:pPr>
      <w:r>
        <w:rPr/>
        <w:t xml:space="preserve">          </w:t>
      </w:r>
      <w:r>
        <w:rPr/>
        <w:tab/>
        <w:tab/>
        <w:tab/>
        <w:t>ABA # 021 000 021</w:t>
      </w:r>
    </w:p>
    <w:p>
      <w:pPr>
        <w:pStyle w:val="Normal"/>
        <w:tabs>
          <w:tab w:val="clear" w:pos="720"/>
          <w:tab w:val="left" w:pos="-720" w:leader="none"/>
        </w:tabs>
        <w:suppressAutoHyphens w:val="true"/>
        <w:jc w:val="both"/>
        <w:rPr/>
      </w:pPr>
      <w:r>
        <w:rPr/>
        <w:t xml:space="preserve">          </w:t>
      </w:r>
      <w:r>
        <w:rPr/>
        <w:tab/>
        <w:tab/>
        <w:tab/>
        <w:t>Account # 920-1-073195</w:t>
      </w:r>
    </w:p>
    <w:p>
      <w:pPr>
        <w:pStyle w:val="Normal"/>
        <w:tabs>
          <w:tab w:val="clear" w:pos="720"/>
          <w:tab w:val="left" w:pos="-720" w:leader="none"/>
        </w:tabs>
        <w:suppressAutoHyphens w:val="true"/>
        <w:jc w:val="both"/>
        <w:rPr/>
      </w:pPr>
      <w:r>
        <w:rPr/>
        <w:t xml:space="preserve">          </w:t>
      </w:r>
      <w:r>
        <w:rPr/>
        <w:tab/>
        <w:tab/>
        <w:tab/>
        <w:t>FAO:  United States Trust Company</w:t>
      </w:r>
    </w:p>
    <w:p>
      <w:pPr>
        <w:pStyle w:val="Normal"/>
        <w:tabs>
          <w:tab w:val="clear" w:pos="720"/>
          <w:tab w:val="left" w:pos="-720" w:leader="none"/>
        </w:tabs>
        <w:suppressAutoHyphens w:val="true"/>
        <w:jc w:val="both"/>
        <w:rPr/>
      </w:pPr>
      <w:r>
        <w:rPr/>
        <w:t xml:space="preserve">          </w:t>
      </w:r>
      <w:r>
        <w:rPr/>
        <w:tab/>
        <w:tab/>
        <w:tab/>
        <w:t>FFC:  Subaccount # 04002255</w:t>
      </w:r>
    </w:p>
    <w:p>
      <w:pPr>
        <w:pStyle w:val="Normal"/>
        <w:tabs>
          <w:tab w:val="clear" w:pos="720"/>
          <w:tab w:val="left" w:pos="-720" w:leader="none"/>
        </w:tabs>
        <w:suppressAutoHyphens w:val="true"/>
        <w:jc w:val="both"/>
        <w:rPr/>
      </w:pPr>
      <w:r>
        <w:rPr/>
        <w:t xml:space="preserve">          </w:t>
      </w:r>
      <w:r>
        <w:rPr/>
        <w:tab/>
        <w:tab/>
        <w:tab/>
        <w:t>Ref:  ECLN II</w:t>
      </w:r>
    </w:p>
    <w:p>
      <w:pPr>
        <w:pStyle w:val="Normal"/>
        <w:rPr/>
      </w:pPr>
      <w:r>
        <w:rPr/>
      </w:r>
    </w:p>
    <w:p>
      <w:pPr>
        <w:pStyle w:val="Normal"/>
        <w:tabs>
          <w:tab w:val="clear" w:pos="720"/>
          <w:tab w:val="left" w:pos="-1440" w:leader="none"/>
          <w:tab w:val="left" w:pos="-720" w:leader="none"/>
        </w:tabs>
        <w:suppressAutoHyphens w:val="true"/>
        <w:ind w:start="1440" w:end="0"/>
        <w:rPr/>
      </w:pPr>
      <w:r>
        <w:rPr/>
      </w:r>
    </w:p>
    <w:p>
      <w:pPr>
        <w:pStyle w:val="Normal"/>
        <w:numPr>
          <w:ilvl w:val="0"/>
          <w:numId w:val="7"/>
        </w:numPr>
        <w:tabs>
          <w:tab w:val="clear" w:pos="720"/>
          <w:tab w:val="left" w:pos="-720" w:leader="none"/>
          <w:tab w:val="left" w:pos="0" w:leader="none"/>
        </w:tabs>
        <w:suppressAutoHyphens w:val="true"/>
        <w:jc w:val="both"/>
        <w:rPr/>
      </w:pPr>
      <w:r>
        <w:rPr>
          <w:b/>
          <w:i/>
        </w:rPr>
        <w:t>Other Provisions.</w:t>
      </w:r>
      <w:r>
        <w:rPr/>
        <w:t xml:space="preserve"> </w:t>
      </w:r>
    </w:p>
    <w:p>
      <w:pPr>
        <w:pStyle w:val="Normal"/>
        <w:tabs>
          <w:tab w:val="left" w:pos="-720" w:leader="none"/>
          <w:tab w:val="left" w:pos="0" w:leader="none"/>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720" w:start="720" w:end="0"/>
        <w:rPr/>
      </w:pPr>
      <w:r>
        <w:rPr/>
        <w:tab/>
        <w:t>(i)</w:t>
        <w:tab/>
        <w:t>The definition of Posted Collateral shall also include any and all accounts in which the Cash which constitutes Posted Collateral is held.</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1350" w:start="1350" w:end="0"/>
        <w:jc w:val="both"/>
        <w:rPr/>
      </w:pPr>
      <w:r>
        <w:rPr/>
        <w:tab/>
        <w:t>(ii)</w:t>
        <w:tab/>
        <w:t>Paragraph 6(a) is hereby amended by adding the following sentence to the end thereof:</w:t>
      </w:r>
    </w:p>
    <w:p>
      <w:pPr>
        <w:pStyle w:val="Normal"/>
        <w:tabs>
          <w:tab w:val="left" w:pos="-720" w:leader="none"/>
          <w:tab w:val="left" w:pos="0" w:leader="none"/>
          <w:tab w:val="left" w:pos="720" w:leader="none"/>
        </w:tabs>
        <w:suppressAutoHyphens w:val="true"/>
        <w:ind w:hanging="1440" w:start="1440" w:end="0"/>
        <w:jc w:val="both"/>
        <w:rPr/>
      </w:pPr>
      <w:r>
        <w:rPr/>
        <w:tab/>
      </w:r>
    </w:p>
    <w:p>
      <w:pPr>
        <w:pStyle w:val="BlockText"/>
        <w:tabs>
          <w:tab w:val="clear" w:pos="0"/>
          <w:tab w:val="clear" w:pos="720"/>
          <w:tab w:val="clear" w:pos="1008"/>
          <w:tab w:val="clear" w:pos="1440"/>
        </w:tabs>
        <w:ind w:hanging="2160" w:start="2160" w:end="1008"/>
        <w:rPr>
          <w:sz w:val="20"/>
        </w:rPr>
      </w:pPr>
      <w:r>
        <w:rPr>
          <w:sz w:val="20"/>
        </w:rPr>
        <w:tab/>
        <w:t xml:space="preserve">The Secured Party shall identify on its books and records the Posted Collateral (including for the sake of clarity, any cash proceeds of or distribution on such Posted Collateral) held by it from all other assets it may hold.  </w:t>
      </w:r>
    </w:p>
    <w:p>
      <w:pPr>
        <w:pStyle w:val="Normal"/>
        <w:tabs>
          <w:tab w:val="left" w:pos="-720" w:leader="none"/>
          <w:tab w:val="left" w:pos="0" w:leader="none"/>
          <w:tab w:val="left" w:pos="720" w:leader="none"/>
        </w:tabs>
        <w:suppressAutoHyphens w:val="true"/>
        <w:ind w:hanging="2160" w:start="2160" w:end="0"/>
        <w:jc w:val="both"/>
        <w:rPr>
          <w:sz w:val="20"/>
        </w:rPr>
      </w:pPr>
      <w:r>
        <w:rPr>
          <w:sz w:val="20"/>
        </w:rPr>
      </w:r>
    </w:p>
    <w:p>
      <w:pPr>
        <w:pStyle w:val="Normal"/>
        <w:tabs>
          <w:tab w:val="left" w:pos="-720" w:leader="none"/>
          <w:tab w:val="left" w:pos="0" w:leader="none"/>
          <w:tab w:val="left" w:pos="720" w:leader="none"/>
        </w:tabs>
        <w:suppressAutoHyphens w:val="true"/>
        <w:ind w:hanging="1350" w:start="1350" w:end="0"/>
        <w:jc w:val="both"/>
        <w:rPr/>
      </w:pPr>
      <w:r>
        <w:rPr/>
        <w:tab/>
        <w:t>(iii)</w:t>
        <w:tab/>
        <w:t>The following new paragraph is added to the end of Paragraph 8(a):</w:t>
      </w:r>
    </w:p>
    <w:p>
      <w:pPr>
        <w:pStyle w:val="Normal"/>
        <w:keepNext w:val="true"/>
        <w:tabs>
          <w:tab w:val="clear" w:pos="720"/>
          <w:tab w:val="left" w:pos="-720" w:leader="none"/>
        </w:tabs>
        <w:suppressAutoHyphens w:val="true"/>
        <w:jc w:val="both"/>
        <w:rPr/>
      </w:pPr>
      <w:r>
        <w:rPr/>
      </w:r>
    </w:p>
    <w:p>
      <w:pPr>
        <w:pStyle w:val="Normal"/>
        <w:keepNext w:val="true"/>
        <w:tabs>
          <w:tab w:val="left" w:pos="-720" w:leader="none"/>
          <w:tab w:val="left" w:pos="0" w:leader="none"/>
          <w:tab w:val="left" w:pos="720" w:leader="none"/>
          <w:tab w:val="left" w:pos="1440" w:leader="none"/>
        </w:tabs>
        <w:suppressAutoHyphens w:val="true"/>
        <w:ind w:hanging="2160" w:start="2160" w:end="0"/>
        <w:rPr/>
      </w:pPr>
      <w:r>
        <w:rPr/>
        <w:tab/>
        <w:tab/>
        <w:tab/>
        <w:t>To the extent notice is required under applicable law, the parties hereto agree that notice on the day of sale is reasonable notice for purposes of the Uniform Commercial Code 9-504(3) (as in effect in New York).</w:t>
      </w:r>
    </w:p>
    <w:p>
      <w:pPr>
        <w:pStyle w:val="BodyTextIndent2"/>
        <w:keepNext w:val="false"/>
        <w:keepLines w:val="false"/>
        <w:ind w:hanging="720" w:start="720" w:end="0"/>
        <w:jc w:val="both"/>
        <w:rPr>
          <w:sz w:val="20"/>
        </w:rPr>
      </w:pPr>
      <w:r>
        <w:rPr>
          <w:sz w:val="20"/>
        </w:rPr>
        <w:tab/>
      </w:r>
    </w:p>
    <w:p>
      <w:pPr>
        <w:pStyle w:val="Normal"/>
        <w:tabs>
          <w:tab w:val="clear" w:pos="720"/>
          <w:tab w:val="left" w:pos="-720" w:leader="none"/>
        </w:tabs>
        <w:suppressAutoHyphens w:val="true"/>
        <w:ind w:hanging="630" w:start="1350" w:end="0"/>
        <w:rPr/>
      </w:pPr>
      <w:r>
        <w:rPr/>
        <w:t>(iv)</w:t>
        <w:tab/>
        <w:t>Events of Default.  Paragraph 7(i) shall be amended and restated in its entirety as follows:</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ind w:hanging="2160" w:start="2160" w:end="0"/>
        <w:rPr/>
      </w:pPr>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numPr>
          <w:ilvl w:val="0"/>
          <w:numId w:val="5"/>
        </w:numPr>
        <w:tabs>
          <w:tab w:val="clear" w:pos="720"/>
          <w:tab w:val="left" w:pos="-720" w:leader="none"/>
        </w:tabs>
        <w:suppressAutoHyphens w:val="true"/>
        <w:spacing w:before="0" w:after="240"/>
        <w:rPr/>
      </w:pPr>
      <w:r>
        <w:rPr/>
        <w:t>Each determination by Party A hereunder shall, in the absence of manifest error, be conclusive and binding on the parties.</w:t>
      </w:r>
    </w:p>
    <w:p>
      <w:pPr>
        <w:pStyle w:val="Normal"/>
        <w:numPr>
          <w:ilvl w:val="0"/>
          <w:numId w:val="5"/>
        </w:numPr>
        <w:tabs>
          <w:tab w:val="clear" w:pos="720"/>
          <w:tab w:val="left" w:pos="-720" w:leader="none"/>
        </w:tabs>
        <w:suppressAutoHyphens w:val="true"/>
        <w:rPr/>
      </w:pPr>
      <w:r>
        <w:rPr/>
        <w:t>ISDA Definitions.  The ISDA definitions and provisions incorporated into the U.S. Dollar-Denominated Confirmation dated as of May 24, 2001 are incorporated into this Annex.</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rPr>
          <w:sz w:val="20"/>
        </w:rPr>
      </w:pPr>
      <w:r>
        <w:rPr>
          <w:sz w:val="20"/>
        </w:rPr>
      </w:r>
    </w:p>
    <w:p>
      <w:pPr>
        <w:pStyle w:val="Normal"/>
        <w:jc w:val="center"/>
        <w:rPr/>
      </w:pPr>
      <w:r>
        <w:rPr/>
        <w:t>[remainder of page intentionally blank]</w:t>
      </w:r>
    </w:p>
    <w:p>
      <w:pPr>
        <w:sectPr>
          <w:footerReference w:type="default" r:id="rId2"/>
          <w:type w:val="nextPage"/>
          <w:pgSz w:w="12240" w:h="15840"/>
          <w:pgMar w:left="1800" w:right="1800" w:gutter="0" w:header="0" w:top="1440" w:footer="720" w:bottom="1440"/>
          <w:pgNumType w:start="11" w:fmt="decimal"/>
          <w:formProt w:val="false"/>
          <w:textDirection w:val="lrTb"/>
          <w:docGrid w:type="default" w:linePitch="360" w:charSpace="0"/>
        </w:sectPr>
        <w:pStyle w:val="Normal"/>
        <w:rPr/>
      </w:pPr>
      <w:r>
        <w:rPr/>
      </w:r>
    </w:p>
    <w:p>
      <w:pPr>
        <w:pStyle w:val="Normal"/>
        <w:ind w:start="720" w:end="0"/>
        <w:rPr/>
      </w:pPr>
      <w:r>
        <w:rPr/>
      </w:r>
    </w:p>
    <w:p>
      <w:pPr>
        <w:pStyle w:val="Normal"/>
        <w:keepNext w:val="true"/>
        <w:tabs>
          <w:tab w:val="clear" w:pos="720"/>
          <w:tab w:val="left" w:pos="-1440" w:leader="none"/>
          <w:tab w:val="left" w:pos="-720" w:leader="none"/>
        </w:tabs>
        <w:suppressAutoHyphens w:val="true"/>
        <w:rPr/>
      </w:pPr>
      <w:r>
        <w:rPr>
          <w:b/>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r>
              <w:rPr/>
              <w:t>ENRON NORTH AMERICA CORP.</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pPr>
            <w:r>
              <w:rPr/>
              <w:t>DELTA ENERGY CORPORATION</w:t>
            </w:r>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pPr>
            <w:r>
              <w:rPr/>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By:_________________________</w:t>
            </w:r>
          </w:p>
          <w:p>
            <w:pPr>
              <w:pStyle w:val="Normal"/>
              <w:keepNext w:val="true"/>
              <w:tabs>
                <w:tab w:val="clear" w:pos="720"/>
                <w:tab w:val="left" w:pos="-1440" w:leader="none"/>
                <w:tab w:val="left" w:pos="-720" w:leader="none"/>
              </w:tabs>
              <w:suppressAutoHyphens w:val="true"/>
              <w:rPr/>
            </w:pPr>
            <w:r>
              <w:rPr/>
              <w:t xml:space="preserve">   </w:t>
            </w:r>
            <w:r>
              <w:rPr/>
              <w:t>Name:</w:t>
            </w:r>
          </w:p>
          <w:p>
            <w:pPr>
              <w:pStyle w:val="Normal"/>
              <w:keepNext w:val="true"/>
              <w:tabs>
                <w:tab w:val="clear" w:pos="720"/>
                <w:tab w:val="left" w:pos="-1440" w:leader="none"/>
                <w:tab w:val="left" w:pos="-720" w:leader="none"/>
              </w:tabs>
              <w:suppressAutoHyphens w:val="true"/>
              <w:rPr/>
            </w:pPr>
            <w:r>
              <w:rPr/>
              <w:t xml:space="preserve">   </w:t>
            </w:r>
            <w:r>
              <w:rPr/>
              <w:t>Title:</w:t>
            </w:r>
          </w:p>
          <w:p>
            <w:pPr>
              <w:pStyle w:val="Normal"/>
              <w:keepNext w:val="true"/>
              <w:tabs>
                <w:tab w:val="clear" w:pos="720"/>
                <w:tab w:val="left" w:pos="-1440" w:leader="none"/>
                <w:tab w:val="left" w:pos="-720" w:leader="none"/>
              </w:tabs>
              <w:suppressAutoHyphens w:val="true"/>
              <w:spacing w:before="0" w:after="54"/>
              <w:rPr/>
            </w:pPr>
            <w:r>
              <w:rPr/>
              <w:t xml:space="preserve">   </w:t>
            </w:r>
            <w:r>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pPr>
            <w:r>
              <w:rPr/>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By:_________________________</w:t>
            </w:r>
          </w:p>
          <w:p>
            <w:pPr>
              <w:pStyle w:val="Normal"/>
              <w:keepNext w:val="true"/>
              <w:tabs>
                <w:tab w:val="clear" w:pos="720"/>
                <w:tab w:val="left" w:pos="-1440" w:leader="none"/>
                <w:tab w:val="left" w:pos="-720" w:leader="none"/>
              </w:tabs>
              <w:suppressAutoHyphens w:val="true"/>
              <w:rPr/>
            </w:pPr>
            <w:r>
              <w:rPr/>
              <w:t xml:space="preserve">   </w:t>
            </w:r>
            <w:r>
              <w:rPr/>
              <w:t>Name:</w:t>
            </w:r>
          </w:p>
          <w:p>
            <w:pPr>
              <w:pStyle w:val="Normal"/>
              <w:keepNext w:val="true"/>
              <w:tabs>
                <w:tab w:val="clear" w:pos="720"/>
                <w:tab w:val="left" w:pos="-1440" w:leader="none"/>
                <w:tab w:val="left" w:pos="-720" w:leader="none"/>
              </w:tabs>
              <w:suppressAutoHyphens w:val="true"/>
              <w:rPr/>
            </w:pPr>
            <w:r>
              <w:rPr/>
              <w:t xml:space="preserve">   </w:t>
            </w:r>
            <w:r>
              <w:rPr/>
              <w:t>Title:</w:t>
            </w:r>
          </w:p>
          <w:p>
            <w:pPr>
              <w:pStyle w:val="Normal"/>
              <w:keepNext w:val="true"/>
              <w:tabs>
                <w:tab w:val="clear" w:pos="720"/>
                <w:tab w:val="left" w:pos="-1440" w:leader="none"/>
                <w:tab w:val="left" w:pos="-720" w:leader="none"/>
              </w:tabs>
              <w:suppressAutoHyphens w:val="true"/>
              <w:spacing w:before="0" w:after="54"/>
              <w:rPr/>
            </w:pPr>
            <w:r>
              <w:rPr/>
              <w:t xml:space="preserve">   </w:t>
            </w:r>
            <w:r>
              <w:rPr/>
              <w:t>Date:</w:t>
            </w:r>
          </w:p>
        </w:tc>
      </w:tr>
    </w:tbl>
    <w:p>
      <w:pPr>
        <w:pStyle w:val="Normal"/>
        <w:rPr/>
      </w:pPr>
      <w:r>
        <w:rPr/>
      </w:r>
    </w:p>
    <w:p>
      <w:pPr>
        <w:pStyle w:val="Normal"/>
        <w:rPr/>
      </w:pPr>
      <w:r>
        <w:rPr/>
      </w:r>
    </w:p>
    <w:sectPr>
      <w:footerReference w:type="default" r:id="rId3"/>
      <w:footerReference w:type="first" r:id="rId4"/>
      <w:type w:val="nextPage"/>
      <w:pgSz w:w="12240" w:h="15840"/>
      <w:pgMar w:left="1800" w:right="1800" w:gutter="0" w:header="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r>
  </w:p>
  <w:p>
    <w:pPr>
      <w:pStyle w:val="Footer"/>
      <w:spacing w:lineRule="exact" w:line="200"/>
      <w:jc w:val="center"/>
      <w:rPr>
        <w:b/>
        <w:sz w:val="16"/>
      </w:rPr>
    </w:pPr>
    <w:r>
      <w:rPr>
        <w:b/>
        <w:sz w:val="16"/>
      </w:rPr>
    </w:r>
  </w:p>
  <w:p>
    <w:pPr>
      <w:pStyle w:val="Footer"/>
      <w:spacing w:lineRule="exact" w:line="200"/>
      <w:jc w:val="center"/>
      <w:rPr>
        <w:b/>
        <w:sz w:val="16"/>
      </w:rPr>
    </w:pPr>
    <w:r>
      <w:rPr>
        <w:b/>
        <w:sz w:val="16"/>
      </w:rPr>
      <w:t>ENRON-DELTA U.S. DOLLAR-DENOMINATED CREDIT SUPPORT ANNEX</w:t>
    </w:r>
  </w:p>
  <w:p>
    <w:pPr>
      <w:pStyle w:val="Footer"/>
      <w:spacing w:lineRule="exact" w:line="200"/>
      <w:jc w:val="center"/>
      <w:rPr>
        <w:rStyle w:val="PageNumber"/>
        <w:b/>
        <w:sz w:val="16"/>
      </w:rPr>
    </w:pPr>
    <w:r>
      <w:rPr>
        <w:b/>
        <w:sz w:val="16"/>
      </w:rPr>
    </w:r>
  </w:p>
  <w:p>
    <w:pPr>
      <w:pStyle w:val="Footer"/>
      <w:spacing w:lineRule="exact" w:line="20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spacing w:lineRule="exact" w:line="200"/>
      <w:rPr/>
    </w:pPr>
    <w:r>
      <w:rPr>
        <w:rStyle w:val="zzmpTrailerItem"/>
        <w:b w:val="false"/>
        <w:i w:val="false"/>
      </w:rPr>
      <w:t>NY3:#7263835</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r>
  </w:p>
  <w:p>
    <w:pPr>
      <w:pStyle w:val="Footer"/>
      <w:spacing w:lineRule="exact" w:line="200"/>
      <w:jc w:val="center"/>
      <w:rPr>
        <w:b/>
        <w:sz w:val="16"/>
      </w:rPr>
    </w:pPr>
    <w:r>
      <w:rPr>
        <w:b/>
        <w:sz w:val="16"/>
      </w:rPr>
    </w:r>
  </w:p>
  <w:p>
    <w:pPr>
      <w:pStyle w:val="Footer"/>
      <w:spacing w:lineRule="exact" w:line="200"/>
      <w:jc w:val="center"/>
      <w:rPr>
        <w:b/>
        <w:sz w:val="16"/>
      </w:rPr>
    </w:pPr>
    <w:r>
      <w:rPr>
        <w:b/>
        <w:sz w:val="16"/>
      </w:rPr>
      <w:t>ENRON-DELTA U.S. DOLLAR-DENOMINATED CREDIT SUPPORT ANNEX</w:t>
    </w:r>
  </w:p>
  <w:p>
    <w:pPr>
      <w:pStyle w:val="Footer"/>
      <w:spacing w:lineRule="exact" w:line="200"/>
      <w:jc w:val="center"/>
      <w:rPr>
        <w:rStyle w:val="PageNumber"/>
        <w:b/>
        <w:sz w:val="16"/>
      </w:rPr>
    </w:pPr>
    <w:r>
      <w:rPr>
        <w:b/>
        <w:sz w:val="16"/>
      </w:rPr>
    </w:r>
  </w:p>
  <w:p>
    <w:pPr>
      <w:pStyle w:val="Footer"/>
      <w:spacing w:lineRule="exact" w:line="2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b w:val="false"/>
        <w:i w:val="false"/>
      </w:rPr>
      <w:t>NY3:#7263835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r>
  </w:p>
  <w:p>
    <w:pPr>
      <w:pStyle w:val="Footer"/>
      <w:jc w:val="center"/>
      <w:rPr>
        <w:b/>
        <w:sz w:val="16"/>
      </w:rPr>
    </w:pPr>
    <w:r>
      <w:rPr>
        <w:b/>
        <w:sz w:val="16"/>
      </w:rPr>
    </w:r>
  </w:p>
  <w:p>
    <w:pPr>
      <w:pStyle w:val="Footer"/>
      <w:jc w:val="center"/>
      <w:rPr>
        <w:b/>
        <w:sz w:val="16"/>
      </w:rPr>
    </w:pPr>
    <w:r>
      <w:rPr>
        <w:b/>
        <w:sz w:val="16"/>
      </w:rPr>
      <w:t>ENRON-DELTA U.S. DOLLAR-DENOMINATED CREDIT SUPPORT ANNEX</w:t>
    </w:r>
  </w:p>
  <w:p>
    <w:pPr>
      <w:pStyle w:val="Footer"/>
      <w:jc w:val="center"/>
      <w:rPr>
        <w:b/>
        <w:sz w:val="16"/>
      </w:rPr>
    </w:pPr>
    <w:r>
      <w:rPr>
        <w:b/>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0"/>
      <w:numFmt w:val="lowerLetter"/>
      <w:lvlText w:val="(%1)"/>
      <w:lvlJc w:val="start"/>
      <w:pPr>
        <w:tabs>
          <w:tab w:val="num" w:pos="720"/>
        </w:tabs>
        <w:ind w:start="720" w:hanging="720"/>
      </w:pPr>
      <w:rPr>
        <w:i w:val="false"/>
        <w:b w:val="false"/>
      </w:rPr>
    </w:lvl>
  </w:abstractNum>
  <w:abstractNum w:abstractNumId="5">
    <w:lvl w:ilvl="0">
      <w:start w:val="5"/>
      <w:numFmt w:val="lowerRoman"/>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NY3:#7263835v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sz w:val="24"/>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sz w:val="24"/>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z w:val="24"/>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Bold" w:hAnsi="Times New Roman Bold" w:cs="Times New Roman Bold"/>
      <w:b/>
      <w:i w:val="false"/>
      <w:caps w:val="false"/>
      <w:smallCaps w:val="false"/>
      <w:strike w:val="false"/>
      <w:dstrike w:val="false"/>
      <w:outline w:val="false"/>
      <w:shadow w:val="false"/>
      <w:vanish w:val="false"/>
      <w:position w:val="0"/>
      <w:sz w:val="24"/>
      <w:sz w:val="24"/>
      <w:vertAlign w:val="baselin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DefaultParagraphFont">
    <w:name w:val="Default Paragraph Font"/>
    <w:qFormat/>
    <w:rPr/>
  </w:style>
  <w:style w:type="character" w:styleId="zzmpTrailerItem">
    <w:name w:val="zzmpTrailerItem"/>
    <w:basedOn w:val="DefaultParagraphFont"/>
    <w:qFormat/>
    <w:rPr>
      <w:b/>
      <w:i/>
      <w:sz w:val="16"/>
      <w:effect w:val="blinkBackground"/>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Paragraph">
    <w:name w:val="Indented Paragraph"/>
    <w:qFormat/>
    <w:pPr>
      <w:keepLines/>
      <w:widowControl/>
      <w:bidi w:val="0"/>
      <w:spacing w:lineRule="exact" w:line="240"/>
      <w:ind w:firstLine="720" w:start="0" w:end="0"/>
      <w:jc w:val="both"/>
    </w:pPr>
    <w:rPr>
      <w:rFonts w:ascii="Courier" w:hAnsi="Courier" w:eastAsia="Times New Roman" w:cs="Courier"/>
      <w:color w:val="auto"/>
      <w:sz w:val="20"/>
      <w:szCs w:val="20"/>
      <w:lang w:val="en-GB" w:bidi="ar-SA" w:eastAsia="zh-CN"/>
    </w:rPr>
  </w:style>
  <w:style w:type="paragraph" w:styleId="EndnoteText">
    <w:name w:val="endnote text"/>
    <w:basedOn w:val="Normal"/>
    <w:pPr>
      <w:widowControl w:val="false"/>
    </w:pPr>
    <w:rPr>
      <w:rFonts w:ascii="Courier New" w:hAnsi="Courier New" w:cs="Courier New"/>
      <w:sz w:val="24"/>
    </w:rPr>
  </w:style>
  <w:style w:type="paragraph" w:styleId="BodyTextIndent">
    <w:name w:val="Body Text Indent"/>
    <w:basedOn w:val="Normal"/>
    <w:pPr>
      <w:tabs>
        <w:tab w:val="clear" w:pos="720"/>
        <w:tab w:val="left" w:pos="-720" w:leader="none"/>
      </w:tabs>
      <w:suppressAutoHyphens w:val="true"/>
      <w:ind w:hanging="1440" w:start="2160" w:end="0"/>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FootnoteText">
    <w:name w:val="footnote text"/>
    <w:basedOn w:val="Normal"/>
    <w:pPr>
      <w:widowControl w:val="false"/>
    </w:pPr>
    <w:rPr>
      <w:rFonts w:ascii="Courier New" w:hAnsi="Courier New" w:cs="Courier New"/>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2001-05-23T22:23:00Z</dcterms:created>
  <dc:creator>RRichard</dc:creator>
  <dc:description/>
  <dc:language>en-CA</dc:language>
  <cp:lastModifiedBy>MPetito</cp:lastModifiedBy>
  <cp:lastPrinted>2001-05-24T12:04:00Z</cp:lastPrinted>
  <dcterms:modified xsi:type="dcterms:W3CDTF">2001-06-26T18:07:00Z</dcterms:modified>
  <cp:revision>7</cp:revision>
  <dc:subject/>
  <dc:title>Paragraph 13</dc:title>
</cp:coreProperties>
</file>