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DELTA ENERGY CORPORATION</w:t>
      </w:r>
    </w:p>
    <w:p>
      <w:pPr>
        <w:pStyle w:val="Normal"/>
        <w:jc w:val="center"/>
        <w:rPr/>
      </w:pPr>
      <w:r>
        <w:rPr/>
        <w:t>Prepaid Oil Swap Transaction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Index of Closing Documents</w:t>
      </w:r>
    </w:p>
    <w:p>
      <w:pPr>
        <w:pStyle w:val="Normal"/>
        <w:jc w:val="center"/>
        <w:rPr/>
      </w:pPr>
      <w:r>
        <w:rPr/>
        <w:t>Closing August 25,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keepLines/>
        <w:ind w:start="360" w:end="0"/>
        <w:rPr/>
      </w:pPr>
      <w:r>
        <w:rPr>
          <w:u w:val="single"/>
        </w:rPr>
        <w:t>Parties</w:t>
      </w:r>
      <w:r>
        <w:rPr/>
        <w:t>:</w:t>
      </w:r>
    </w:p>
    <w:p>
      <w:pPr>
        <w:pStyle w:val="Normal"/>
        <w:keepLines/>
        <w:ind w:start="360" w:end="0"/>
        <w:rPr/>
      </w:pPr>
      <w:r>
        <w:rPr/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  <w:t>Citibank, N.A.</w:t>
        <w:tab/>
        <w:t>"Citi"</w:t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  <w:t>Delta Energy Corporation</w:t>
        <w:tab/>
        <w:t>"Delta"</w:t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  <w:t>Enron North America Corp.</w:t>
        <w:tab/>
        <w:t>"ENA"</w:t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  <w:t>Enron Corp.</w:t>
        <w:tab/>
        <w:t>"Enron"</w:t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  <w:t>Maples and Calder</w:t>
        <w:tab/>
        <w:t>"M&amp;C"</w:t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  <w:t>Milbank, Tweed, Hadley &amp; McCloy LLP</w:t>
        <w:tab/>
        <w:t>"MTHM"</w:t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  <w:t>United States Trust Company of New York</w:t>
        <w:tab/>
        <w:t>"U.S. Trust"</w:t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  <w:t>Vinson &amp; Elkins LLP</w:t>
        <w:tab/>
        <w:t>"V&amp;E"</w:t>
      </w:r>
    </w:p>
    <w:p>
      <w:pPr>
        <w:pStyle w:val="Normal"/>
        <w:keepLines/>
        <w:tabs>
          <w:tab w:val="clear" w:pos="720"/>
          <w:tab w:val="left" w:pos="6660" w:leader="none"/>
        </w:tabs>
        <w:ind w:hanging="180" w:start="540" w:end="0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CLOSING – August 25, 2000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A.</w:t>
        <w:tab/>
      </w:r>
      <w:r>
        <w:rPr>
          <w:b/>
          <w:i/>
        </w:rPr>
        <w:t>Principal Documents</w:t>
      </w:r>
      <w:r>
        <w:rPr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  <w:tab/>
      </w:r>
      <w:r>
        <w:rPr>
          <w:i/>
        </w:rPr>
        <w:t>Delta/Citi Swap Documents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ind w:hanging="720" w:start="1440" w:end="1980"/>
        <w:rPr/>
      </w:pPr>
      <w:r>
        <w:rPr/>
        <w:t>(a)</w:t>
        <w:tab/>
        <w:t>a copy of the ISDA Master Agreement dated as of September 27, 1994 between Citi and Delta (including the schedule thereto)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Delta/Citi Swap</w:t>
        <w:tab/>
        <w:tab/>
        <w:tab/>
        <w:tab/>
        <w:tab/>
        <w:tab/>
        <w:tab/>
        <w:tab/>
        <w:tab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hanging="720" w:start="2160" w:end="0"/>
        <w:rPr/>
      </w:pPr>
      <w:r>
        <w:rPr/>
        <w:tab/>
      </w:r>
    </w:p>
    <w:p>
      <w:pPr>
        <w:pStyle w:val="Normal"/>
        <w:rPr/>
      </w:pPr>
      <w:r>
        <w:rPr/>
        <w:t>2.</w:t>
        <w:tab/>
      </w:r>
      <w:r>
        <w:rPr>
          <w:i/>
        </w:rPr>
        <w:t>ENA/Citibank Swap Documents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ind w:hanging="720" w:start="1440" w:end="2160"/>
        <w:rPr/>
      </w:pPr>
      <w:r>
        <w:rPr/>
        <w:t>(a)</w:t>
        <w:tab/>
        <w:t>a copy of the ISDA Master Agreement dated as of November 17, 1992 between Citi and ENA (including the schedule thereto)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ab/>
        <w:t>(b)</w:t>
        <w:tab/>
        <w:t>ENA/Citi Swap</w:t>
        <w:tab/>
        <w:tab/>
        <w:tab/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ab/>
        <w:t>(c)</w:t>
        <w:tab/>
        <w:t>Enron Guaranty of the ENA/Citi Swap</w:t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1440" w:end="2160"/>
        <w:rPr/>
      </w:pPr>
      <w:r>
        <w:rPr/>
        <w:t>(d)</w:t>
        <w:tab/>
        <w:t>Fiscal Agency Agreement relating to the ENA/Citi Swap and the    related Enron Guaranty</w:t>
      </w:r>
    </w:p>
    <w:p>
      <w:pPr>
        <w:pStyle w:val="Normal"/>
        <w:rPr/>
      </w:pPr>
      <w:r>
        <w:rPr/>
      </w:r>
    </w:p>
    <w:p>
      <w:pPr>
        <w:pStyle w:val="Normal"/>
        <w:ind w:hanging="720" w:start="2160" w:end="0"/>
        <w:rPr/>
      </w:pPr>
      <w:r>
        <w:rPr/>
        <w:tab/>
      </w:r>
      <w:r>
        <w:br w:type="page"/>
      </w:r>
    </w:p>
    <w:p>
      <w:pPr>
        <w:pStyle w:val="Normal"/>
        <w:ind w:hanging="720" w:start="2160" w:end="0"/>
        <w:rPr/>
      </w:pPr>
      <w:r>
        <w:rPr/>
      </w:r>
    </w:p>
    <w:p>
      <w:pPr>
        <w:pStyle w:val="Normal"/>
        <w:rPr/>
      </w:pPr>
      <w:r>
        <w:rPr/>
        <w:t>3.</w:t>
        <w:tab/>
      </w:r>
      <w:r>
        <w:rPr>
          <w:i/>
        </w:rPr>
        <w:t>ENA/Delta Swap Documents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ind w:hanging="720" w:start="1440" w:end="2160"/>
        <w:rPr/>
      </w:pPr>
      <w:r>
        <w:rPr/>
        <w:t>(a)</w:t>
        <w:tab/>
        <w:t>a copy of the ISDA Master Agreement dated as of November 18, 1999 between ENA and Delta (including the Schedule thereto)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(b)</w:t>
        <w:tab/>
        <w:t>ENA/Delta Swap</w:t>
        <w:tab/>
        <w:tab/>
        <w:tab/>
        <w:tab/>
        <w:tab/>
        <w:tab/>
        <w:tab/>
        <w:tab/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start="720" w:end="0"/>
        <w:rPr/>
      </w:pPr>
      <w:r>
        <w:rPr/>
        <w:t>(c)</w:t>
        <w:tab/>
        <w:t>Enron Guaranty of the ENA/Delta Swap</w:t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2160"/>
        <w:rPr/>
      </w:pPr>
      <w:r>
        <w:rPr/>
        <w:t>Fiscal Agency Agreement relating to the ENA/Delta Swap and the related Enron Guaranty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B.</w:t>
        <w:tab/>
      </w:r>
      <w:r>
        <w:rPr>
          <w:b/>
          <w:i/>
        </w:rPr>
        <w:t>Organizational Documents, Etc.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1.</w:t>
        <w:tab/>
      </w:r>
      <w:r>
        <w:rPr>
          <w:i/>
          <w:u w:val="single"/>
        </w:rPr>
        <w:t>Delta</w:t>
      </w:r>
      <w:r>
        <w:rPr>
          <w:i/>
        </w:rPr>
        <w:t xml:space="preserve"> 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ab/>
        <w:t>(a)</w:t>
        <w:tab/>
        <w:t>Certificate of Incorporation</w:t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ab/>
        <w:t>(b)</w:t>
        <w:tab/>
        <w:t>Cayman Islands Lien Search</w:t>
        <w:tab/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ab/>
        <w:t>(c)</w:t>
        <w:tab/>
        <w:t>Lien Search against Delta in New York</w:t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keepNext w:val="true"/>
        <w:keepLines/>
        <w:ind w:hanging="720" w:start="720" w:end="0"/>
        <w:rPr/>
      </w:pPr>
      <w:r>
        <w:rPr/>
        <w:tab/>
        <w:t>(d)</w:t>
        <w:tab/>
        <w:t xml:space="preserve">Director's Certificates </w:t>
        <w:tab/>
        <w:tab/>
        <w:tab/>
        <w:tab/>
        <w:tab/>
        <w:tab/>
        <w:tab/>
        <w:tab/>
      </w:r>
    </w:p>
    <w:p>
      <w:pPr>
        <w:pStyle w:val="Normal"/>
        <w:keepNext w:val="true"/>
        <w:keepLines/>
        <w:ind w:hanging="720" w:start="720" w:end="0"/>
        <w:rPr/>
      </w:pPr>
      <w:r>
        <w:rPr/>
        <w:tab/>
        <w:tab/>
        <w:tab/>
      </w:r>
    </w:p>
    <w:p>
      <w:pPr>
        <w:pStyle w:val="Normal"/>
        <w:ind w:hanging="720" w:start="1440" w:end="2160"/>
        <w:rPr/>
      </w:pPr>
      <w:r>
        <w:rPr/>
        <w:t>(e)</w:t>
        <w:tab/>
        <w:t>A copy, certified by Delta as true and correct, of the 20-year tax                     concession granted by the Cayman Islands to Delta in 1993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2.</w:t>
        <w:tab/>
      </w:r>
      <w:r>
        <w:rPr>
          <w:i/>
          <w:u w:val="single"/>
        </w:rPr>
        <w:t>ENA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1440" w:end="2160"/>
        <w:rPr/>
      </w:pPr>
      <w:r>
        <w:rPr/>
        <w:t>(a)</w:t>
        <w:tab/>
        <w:t>Long-Form Good Standing Certificate from the Secretary of State of the State of Delaware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(b)</w:t>
        <w:tab/>
        <w:t>Secretary's Certificates</w:t>
        <w:tab/>
        <w:tab/>
        <w:tab/>
        <w:tab/>
        <w:tab/>
        <w:tab/>
        <w:tab/>
        <w:tab/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2160"/>
        <w:rPr/>
      </w:pPr>
      <w:r>
        <w:rPr/>
        <w:t>(c)</w:t>
        <w:tab/>
        <w:t>Good Standing Certificate from the Secretary of State of the State of Texas</w:t>
      </w:r>
    </w:p>
    <w:p>
      <w:pPr>
        <w:pStyle w:val="Normal"/>
        <w:ind w:hanging="720" w:start="1440" w:end="0"/>
        <w:rPr/>
      </w:pPr>
      <w:r>
        <w:rPr/>
        <w:t xml:space="preserve"> </w:t>
      </w:r>
      <w:r>
        <w:rPr/>
        <w:tab/>
        <w:tab/>
      </w:r>
    </w:p>
    <w:p>
      <w:pPr>
        <w:pStyle w:val="Normal"/>
        <w:ind w:hanging="720" w:start="720" w:end="0"/>
        <w:rPr/>
      </w:pPr>
      <w:r>
        <w:rPr/>
        <w:t>3.</w:t>
        <w:tab/>
      </w:r>
      <w:r>
        <w:rPr>
          <w:i/>
          <w:u w:val="single"/>
        </w:rPr>
        <w:t>Enron</w:t>
      </w:r>
      <w:r>
        <w:rPr>
          <w:i/>
        </w:rPr>
        <w:t xml:space="preserve"> 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1440" w:end="2160"/>
        <w:rPr/>
      </w:pPr>
      <w:r>
        <w:rPr/>
        <w:t>(a)</w:t>
        <w:tab/>
        <w:t>Long-Form Good Standing Certificate from the Secretary of State of the State of Oregon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>
          <w:b/>
        </w:rPr>
      </w:pPr>
      <w:r>
        <w:rPr/>
        <w:t>(b)</w:t>
        <w:tab/>
        <w:t>Secretary's Certificates</w:t>
        <w:tab/>
        <w:tab/>
        <w:tab/>
        <w:tab/>
        <w:tab/>
        <w:tab/>
        <w:tab/>
        <w:tab/>
      </w:r>
    </w:p>
    <w:p>
      <w:pPr>
        <w:pStyle w:val="Normal"/>
        <w:ind w:hanging="720" w:start="1440" w:end="0"/>
        <w:rPr>
          <w:b/>
        </w:rPr>
      </w:pPr>
      <w:r>
        <w:rPr>
          <w:b/>
        </w:rPr>
      </w:r>
    </w:p>
    <w:p>
      <w:pPr>
        <w:pStyle w:val="Normal"/>
        <w:ind w:hanging="720" w:start="1440" w:end="0"/>
        <w:rPr/>
      </w:pPr>
      <w:r>
        <w:rPr/>
        <w:t>(c)</w:t>
        <w:tab/>
        <w:t>Good Standing Certificate from the Secretary of the State of Texas</w:t>
        <w:tab/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720" w:start="1440" w:end="0"/>
        <w:rPr/>
      </w:pPr>
      <w:r>
        <w:rPr/>
        <w:t>Confirmations of Policy on the Issuance of Guarantees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</w:t>
        <w:tab/>
      </w:r>
      <w:r>
        <w:rPr>
          <w:i/>
          <w:u w:val="single"/>
        </w:rPr>
        <w:t>U.S. Trust</w:t>
      </w:r>
      <w:r>
        <w:rPr/>
        <w:t xml:space="preserve"> – Certificate of Incumbency and Authorization</w:t>
        <w:tab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C.</w:t>
        <w:tab/>
      </w:r>
      <w:r>
        <w:rPr>
          <w:b/>
          <w:i/>
        </w:rPr>
        <w:t>Tax  Forms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b/>
          <w:i/>
        </w:rPr>
        <w:t>Security Documents</w:t>
      </w:r>
      <w:r>
        <w:rPr/>
        <w:t>: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>(a)</w:t>
        <w:tab/>
        <w:t xml:space="preserve">Security Agreement </w:t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(b)</w:t>
        <w:tab/>
        <w:t>Financing Statement filed pursuant to Section 5.11 of Security Agreement</w:t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(c) </w:t>
        <w:tab/>
        <w:t>Indemnification Agreement related to the Security Agreement</w:t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>
          <w:b/>
          <w:i/>
          <w:i/>
        </w:rPr>
      </w:pPr>
      <w:r>
        <w:rPr/>
        <w:t>E.</w:t>
        <w:tab/>
      </w:r>
      <w:r>
        <w:rPr>
          <w:b/>
          <w:i/>
        </w:rPr>
        <w:t>Opinions</w:t>
      </w:r>
      <w:r>
        <w:rPr>
          <w:i/>
        </w:rPr>
        <w:t>:</w:t>
      </w:r>
    </w:p>
    <w:p>
      <w:pPr>
        <w:pStyle w:val="Normal"/>
        <w:ind w:hanging="720" w:start="720" w:end="0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720" w:start="720" w:end="0"/>
        <w:rPr/>
      </w:pPr>
      <w:r>
        <w:rPr/>
        <w:t>1.</w:t>
        <w:tab/>
        <w:t>Vinson &amp; Elkins</w:t>
        <w:tab/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Enron internal counsel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  <w:t>3.</w:t>
        <w:tab/>
        <w:t>ENA internal counsel</w:t>
        <w:tab/>
        <w:tab/>
        <w:tab/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4.</w:t>
        <w:tab/>
        <w:t>Maples and Calder</w:t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5..</w:t>
        <w:tab/>
        <w:t>Milbank, Tweed, Hadley &amp; McCloy LLP</w:t>
        <w:tab/>
        <w:tab/>
        <w:tab/>
        <w:tab/>
        <w:tab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jc w:val="start"/>
      <w:rPr/>
    </w:pPr>
    <w:r>
      <w:rPr>
        <w:rStyle w:val="zzmpTrailerItem"/>
      </w:rPr>
      <w:t>NY3:#7249458v2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jc w:val="start"/>
      <w:rPr/>
    </w:pPr>
    <w:r>
      <w:rPr>
        <w:rStyle w:val="zzmpTrailerItem"/>
      </w:rPr>
      <w:t>NY3:#7249458v2</w:t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lowerLetter"/>
      <w:lvlText w:val="(%1)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4"/>
      <w:numFmt w:val="upperLetter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2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5">
    <w:lvl w:ilvl="0">
      <w:start w:val="4"/>
      <w:numFmt w:val="lowerLetter"/>
      <w:lvlText w:val="(%1)"/>
      <w:lvlJc w:val="start"/>
      <w:pPr>
        <w:tabs>
          <w:tab w:val="num" w:pos="1080"/>
        </w:tabs>
        <w:ind w:start="10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zzmpFixedDOC_ID" w:val="H:\Docs\Delta III - Closing List.doc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zzmpTrailerItem">
    <w:name w:val="zzmpTrailerItem"/>
    <w:basedOn w:val="DefaultParagraphFont"/>
    <w:qFormat/>
    <w:rPr>
      <w:sz w:val="16"/>
      <w:effect w:val="blinkBackgroun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center"/>
    </w:pPr>
    <w:rPr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2000-08-21T12:29:00Z</dcterms:created>
  <dc:creator>Milbank, Tweed</dc:creator>
  <dc:description/>
  <dc:language>en-CA</dc:language>
  <cp:lastModifiedBy>MDunn1</cp:lastModifiedBy>
  <cp:lastPrinted>2000-08-21T10:49:00Z</cp:lastPrinted>
  <dcterms:modified xsi:type="dcterms:W3CDTF">2000-08-21T12:35:00Z</dcterms:modified>
  <cp:revision>3</cp:revision>
  <dc:subject/>
  <dc:title>MTH&amp;M DRAFT</dc:title>
</cp:coreProperties>
</file>