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Heading1"/>
        <w:ind w:hanging="0" w:start="0"/>
        <w:jc w:val="center"/>
        <w:rPr/>
      </w:pPr>
      <w:r>
        <w:rPr/>
        <w:t>A Delaware Limited Liability Company</w:t>
      </w:r>
    </w:p>
    <w:p>
      <w:pPr>
        <w:pStyle w:val="Normal"/>
        <w:widowControl/>
        <w:jc w:val="both"/>
        <w:rPr/>
      </w:pPr>
      <w:r>
        <w:rPr/>
      </w:r>
    </w:p>
    <w:p>
      <w:pPr>
        <w:pStyle w:val="Normal"/>
        <w:widowControl/>
        <w:jc w:val="both"/>
        <w:rPr/>
      </w:pPr>
      <w:r>
        <w:rPr/>
      </w:r>
    </w:p>
    <w:p>
      <w:pPr>
        <w:pStyle w:val="Normal"/>
        <w:widowControl/>
        <w:ind w:firstLine="720" w:end="0"/>
        <w:jc w:val="both"/>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Delta Power Company LLC, a limited liability company organized under the laws of the State of _____________ (“</w:t>
      </w:r>
      <w:r>
        <w:rPr>
          <w:u w:val="single"/>
        </w:rPr>
        <w:t>Panda</w:t>
      </w:r>
      <w:r>
        <w:rPr/>
        <w:t>”), and each of which is a Member and together are all of the Members.</w:t>
      </w:r>
    </w:p>
    <w:p>
      <w:pPr>
        <w:pStyle w:val="Normal"/>
        <w:widowControl/>
        <w:jc w:val="both"/>
        <w:rPr/>
      </w:pPr>
      <w:r>
        <w:rPr/>
      </w:r>
    </w:p>
    <w:p>
      <w:pPr>
        <w:pStyle w:val="Heading2"/>
        <w:ind w:hanging="0" w:start="0"/>
        <w:rPr/>
      </w:pPr>
      <w:r>
        <w:rPr/>
        <w:t>BACKGROUND</w:t>
      </w:r>
    </w:p>
    <w:p>
      <w:pPr>
        <w:pStyle w:val="Normal"/>
        <w:widowControl/>
        <w:jc w:val="both"/>
        <w:rPr/>
      </w:pPr>
      <w:r>
        <w:rPr/>
      </w:r>
    </w:p>
    <w:p>
      <w:pPr>
        <w:pStyle w:val="Normal"/>
        <w:widowControl/>
        <w:ind w:firstLine="720" w:end="0"/>
        <w:jc w:val="both"/>
        <w:rPr/>
      </w:pPr>
      <w:r>
        <w:rPr/>
        <w:t>WHEREAS, ENA executed the Company’s Limited Liability Company Agreement dated as of _______________, 2001 (the “</w:t>
      </w:r>
      <w:r>
        <w:rPr>
          <w:u w:val="single"/>
        </w:rPr>
        <w:t>Prior Agreement</w:t>
      </w:r>
      <w:r>
        <w:rPr/>
        <w:t>”);</w:t>
      </w:r>
    </w:p>
    <w:p>
      <w:pPr>
        <w:pStyle w:val="Normal"/>
        <w:widowControl/>
        <w:jc w:val="both"/>
        <w:rPr/>
      </w:pPr>
      <w:r>
        <w:rPr/>
      </w:r>
    </w:p>
    <w:p>
      <w:pPr>
        <w:pStyle w:val="Normal"/>
        <w:widowControl/>
        <w:ind w:firstLine="720" w:end="0"/>
        <w:jc w:val="both"/>
        <w:rPr/>
      </w:pPr>
      <w:r>
        <w:rPr/>
        <w:t>WHEREAS, Delta has become a Member of the Company, and ENA and Delta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Heading2"/>
        <w:ind w:hanging="0" w:start="0"/>
        <w:rPr/>
      </w:pPr>
      <w:r>
        <w:rPr/>
        <w:t>SECTION 1</w:t>
      </w:r>
    </w:p>
    <w:p>
      <w:pPr>
        <w:pStyle w:val="Heading2"/>
        <w:ind w:hanging="0" w:start="0"/>
        <w:rPr/>
      </w:pPr>
      <w:r>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Formation; Term</w:t>
      </w:r>
      <w:r>
        <w:rPr/>
        <w:t>.  The Company was formed as Newco</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jc w:val="both"/>
        <w:rPr/>
      </w:pPr>
      <w:r>
        <w:rPr/>
      </w:r>
    </w:p>
    <w:p>
      <w:pPr>
        <w:pStyle w:val="Normal"/>
        <w:widowControl/>
        <w:ind w:firstLine="720" w:end="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jc w:val="both"/>
        <w:rPr/>
      </w:pPr>
      <w:r>
        <w:rPr/>
      </w:r>
    </w:p>
    <w:p>
      <w:pPr>
        <w:pStyle w:val="Normal"/>
        <w:widowControl/>
        <w:ind w:firstLine="720" w:end="0"/>
        <w:jc w:val="both"/>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ind w:firstLine="720" w:end="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jc w:val="both"/>
        <w:rPr/>
      </w:pPr>
      <w:r>
        <w:rPr/>
      </w:r>
    </w:p>
    <w:p>
      <w:pPr>
        <w:pStyle w:val="Normal"/>
        <w:widowControl/>
        <w:jc w:val="center"/>
        <w:rPr>
          <w:b/>
        </w:rPr>
      </w:pPr>
      <w:r>
        <w:rPr>
          <w:b/>
        </w:rPr>
        <w:t>SECTION 3</w:t>
      </w:r>
    </w:p>
    <w:p>
      <w:pPr>
        <w:pStyle w:val="Heading2"/>
        <w:ind w:hanging="0" w:start="0"/>
        <w:rPr/>
      </w:pPr>
      <w:r>
        <w:rPr/>
        <w:t>REPRESENTATIONS AND WARRANTIES</w:t>
      </w:r>
    </w:p>
    <w:p>
      <w:pPr>
        <w:pStyle w:val="Normal"/>
        <w:widowControl/>
        <w:jc w:val="center"/>
        <w:rPr/>
      </w:pPr>
      <w:r>
        <w:rPr/>
      </w:r>
    </w:p>
    <w:p>
      <w:pPr>
        <w:pStyle w:val="Normal"/>
        <w:widowControl/>
        <w:ind w:firstLine="720" w:end="0"/>
        <w:jc w:val="both"/>
        <w:rPr/>
      </w:pPr>
      <w:r>
        <w:rPr/>
        <w:t>3.1</w:t>
        <w:tab/>
      </w:r>
      <w:r>
        <w:rPr>
          <w:u w:val="single"/>
        </w:rPr>
        <w:t>Representations and Warranties of ENA</w:t>
      </w:r>
      <w:r>
        <w:rPr/>
        <w:t>.  In order to induce Delta to enter into this Agreement, ENA represents, warrants, covenants and agrees with Delta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The Company has acquired rights and obligations associated with the purchase of four LM6000 enhanced SPRINT dual-fuel combustion turbine generator sets (the “</w:t>
      </w:r>
      <w:r>
        <w:rPr>
          <w:u w:val="single"/>
        </w:rPr>
        <w:t>GE Equipment</w:t>
      </w:r>
      <w:r>
        <w:rPr/>
        <w:t>”) from GE.</w:t>
      </w:r>
    </w:p>
    <w:p>
      <w:pPr>
        <w:pStyle w:val="Normal"/>
        <w:widowControl/>
        <w:jc w:val="both"/>
        <w:rPr/>
      </w:pPr>
      <w:r>
        <w:rPr/>
      </w:r>
    </w:p>
    <w:p>
      <w:pPr>
        <w:pStyle w:val="Normal"/>
        <w:widowControl/>
        <w:ind w:firstLine="720" w:end="0"/>
        <w:jc w:val="both"/>
        <w:rPr/>
      </w:pPr>
      <w:r>
        <w:rPr/>
        <w:t>3.2</w:t>
        <w:tab/>
      </w:r>
      <w:r>
        <w:rPr>
          <w:u w:val="single"/>
        </w:rPr>
        <w:t>Representations and Warranties of Delta</w:t>
      </w:r>
      <w:r>
        <w:rPr/>
        <w:t>.  In order to induce ENA to enter into this Agreement, Delta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Delta is a limited liability company duly organized, validly existing and in good standing under the laws of the State of Delaware.</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Delta has full power and authority to enter into and perform this Agreement.  The Board of Managers of Delta has taken all actions required by law, Delta’s Certificate of Formation, its Limited Liability Company Agreement or otherwise to be taken to authorize the execution, delivery and performance of this Agreement by Delta, and this Agreement has been duly executed and delivered by Delta and constitutes the legal, valid and binding agreement of Delta,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Neither the execution, delivery or performance of this Agreement by Delta will violate any provision of the Certificate of Formation or Limited Liability Company Agreement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jc w:val="both"/>
        <w:rPr/>
      </w:pPr>
      <w:r>
        <w:rPr/>
      </w:r>
    </w:p>
    <w:p>
      <w:pPr>
        <w:pStyle w:val="Heading2"/>
        <w:ind w:hanging="0" w:start="0"/>
        <w:rPr/>
      </w:pPr>
      <w:r>
        <w:rPr/>
        <w:t>SECTION 4</w:t>
      </w:r>
    </w:p>
    <w:p>
      <w:pPr>
        <w:pStyle w:val="Normal"/>
        <w:widowControl/>
        <w:jc w:val="center"/>
        <w:rPr>
          <w:b/>
        </w:rPr>
      </w:pPr>
      <w:r>
        <w:rPr>
          <w:b/>
        </w:rPr>
        <w:t>MANAGEMENT AND RELATED MATTERS</w:t>
      </w:r>
    </w:p>
    <w:p>
      <w:pPr>
        <w:pStyle w:val="Normal"/>
        <w:widowControl/>
        <w:jc w:val="both"/>
        <w:rPr/>
      </w:pPr>
      <w:r>
        <w:rPr/>
      </w:r>
    </w:p>
    <w:p>
      <w:pPr>
        <w:pStyle w:val="Normal"/>
        <w:widowControl/>
        <w:ind w:firstLine="720" w:end="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Delta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jc w:val="both"/>
        <w:rPr/>
      </w:pPr>
      <w:r>
        <w:rPr/>
      </w:r>
    </w:p>
    <w:p>
      <w:pPr>
        <w:pStyle w:val="Normal"/>
        <w:widowControl/>
        <w:ind w:hanging="720" w:start="1440" w:end="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jc w:val="both"/>
        <w:rPr/>
      </w:pPr>
      <w:r>
        <w:rPr/>
      </w:r>
    </w:p>
    <w:p>
      <w:pPr>
        <w:pStyle w:val="Normal"/>
        <w:widowControl/>
        <w:ind w:hanging="720" w:start="1440" w:end="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jc w:val="both"/>
        <w:rPr/>
      </w:pPr>
      <w:r>
        <w:rPr/>
      </w:r>
    </w:p>
    <w:p>
      <w:pPr>
        <w:pStyle w:val="Normal"/>
        <w:widowControl/>
        <w:ind w:firstLine="1440" w:end="0"/>
        <w:jc w:val="both"/>
        <w:rPr/>
      </w:pPr>
      <w:r>
        <w:rPr/>
        <w:t>(b)</w:t>
        <w:tab/>
        <w:t>The initial Directors designated by Delta are __________________, __________________, and __________________, and the initial Director designated by ENA is __________________.</w:t>
      </w:r>
    </w:p>
    <w:p>
      <w:pPr>
        <w:pStyle w:val="Normal"/>
        <w:widowControl/>
        <w:jc w:val="both"/>
        <w:rPr/>
      </w:pPr>
      <w:r>
        <w:rPr/>
      </w:r>
    </w:p>
    <w:p>
      <w:pPr>
        <w:pStyle w:val="Normal"/>
        <w:widowControl/>
        <w:ind w:firstLine="1440" w:end="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jc w:val="both"/>
        <w:rPr/>
      </w:pPr>
      <w:r>
        <w:rPr/>
      </w:r>
    </w:p>
    <w:p>
      <w:pPr>
        <w:pStyle w:val="Normal"/>
        <w:widowControl/>
        <w:ind w:firstLine="1440" w:end="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jc w:val="both"/>
        <w:rPr/>
      </w:pPr>
      <w:r>
        <w:rPr/>
      </w:r>
    </w:p>
    <w:p>
      <w:pPr>
        <w:pStyle w:val="Normal"/>
        <w:widowControl/>
        <w:ind w:firstLine="1440" w:end="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jc w:val="both"/>
        <w:rPr/>
      </w:pPr>
      <w:r>
        <w:rPr/>
      </w:r>
    </w:p>
    <w:p>
      <w:pPr>
        <w:pStyle w:val="Normal"/>
        <w:widowControl/>
        <w:ind w:firstLine="720" w:end="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jc w:val="both"/>
        <w:rPr/>
      </w:pPr>
      <w:r>
        <w:rPr/>
      </w:r>
    </w:p>
    <w:p>
      <w:pPr>
        <w:pStyle w:val="Normal"/>
        <w:widowControl/>
        <w:ind w:firstLine="1440" w:end="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 or</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w:t>
      </w:r>
    </w:p>
    <w:p>
      <w:pPr>
        <w:pStyle w:val="Normal"/>
        <w:widowControl/>
        <w:jc w:val="both"/>
        <w:rPr/>
      </w:pPr>
      <w:r>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jc w:val="both"/>
        <w:rPr/>
      </w:pPr>
      <w:r>
        <w:rPr/>
      </w:r>
    </w:p>
    <w:p>
      <w:pPr>
        <w:pStyle w:val="Normal"/>
        <w:widowControl/>
        <w:ind w:firstLine="720" w:end="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jc w:val="both"/>
        <w:rPr/>
      </w:pPr>
      <w:r>
        <w:rPr/>
      </w:r>
    </w:p>
    <w:p>
      <w:pPr>
        <w:pStyle w:val="Normal"/>
        <w:widowControl/>
        <w:ind w:firstLine="720" w:end="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jc w:val="both"/>
        <w:rPr/>
      </w:pPr>
      <w:r>
        <w:rPr/>
      </w:r>
    </w:p>
    <w:p>
      <w:pPr>
        <w:pStyle w:val="Normal"/>
        <w:widowControl/>
        <w:ind w:firstLine="1440" w:end="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jc w:val="both"/>
        <w:rPr/>
      </w:pPr>
      <w:r>
        <w:rPr/>
      </w:r>
    </w:p>
    <w:p>
      <w:pPr>
        <w:pStyle w:val="Normal"/>
        <w:widowControl/>
        <w:ind w:firstLine="1440" w:end="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jc w:val="both"/>
        <w:rPr/>
      </w:pPr>
      <w:r>
        <w:rPr/>
      </w:r>
    </w:p>
    <w:p>
      <w:pPr>
        <w:pStyle w:val="Normal"/>
        <w:widowControl/>
        <w:ind w:firstLine="720" w:end="0"/>
        <w:jc w:val="both"/>
        <w:rPr/>
      </w:pPr>
      <w:r>
        <w:rPr/>
        <w:t>4.7</w:t>
        <w:tab/>
      </w:r>
      <w:r>
        <w:rPr>
          <w:u w:val="single"/>
        </w:rPr>
        <w:t>Tax Matters Member</w:t>
      </w:r>
      <w:r>
        <w:rPr/>
        <w:t>.</w:t>
      </w:r>
    </w:p>
    <w:p>
      <w:pPr>
        <w:pStyle w:val="Normal"/>
        <w:widowControl/>
        <w:jc w:val="both"/>
        <w:rPr/>
      </w:pPr>
      <w:r>
        <w:rPr/>
      </w:r>
    </w:p>
    <w:p>
      <w:pPr>
        <w:pStyle w:val="Normal"/>
        <w:widowControl/>
        <w:ind w:firstLine="1440" w:end="0"/>
        <w:jc w:val="both"/>
        <w:rPr/>
      </w:pPr>
      <w:r>
        <w:rPr/>
        <w:t>(a)</w:t>
        <w:tab/>
        <w:t>Delta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jc w:val="both"/>
        <w:rPr/>
      </w:pPr>
      <w:r>
        <w:rPr/>
      </w:r>
    </w:p>
    <w:p>
      <w:pPr>
        <w:pStyle w:val="Normal"/>
        <w:widowControl/>
        <w:ind w:firstLine="720" w:end="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jc w:val="both"/>
        <w:rPr/>
      </w:pPr>
      <w:r>
        <w:rPr/>
      </w:r>
    </w:p>
    <w:p>
      <w:pPr>
        <w:pStyle w:val="Normal"/>
        <w:widowControl/>
        <w:ind w:firstLine="720" w:end="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jc w:val="both"/>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jc w:val="both"/>
        <w:rPr/>
      </w:pPr>
      <w:r>
        <w:rPr/>
      </w:r>
    </w:p>
    <w:p>
      <w:pPr>
        <w:pStyle w:val="Normal"/>
        <w:widowControl/>
        <w:ind w:firstLine="720" w:end="0"/>
        <w:jc w:val="both"/>
        <w:rPr/>
      </w:pPr>
      <w:r>
        <w:rPr/>
        <w:t>5.1</w:t>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Delta has contributed cash in the amount of Eight Hundred and No/100 Dollars ($800.00) to the capital of the Company.  The Members acknowledge that ENA owns a 20% membership interest in the Company and Delta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jc w:val="both"/>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jc w:val="both"/>
        <w:rPr/>
      </w:pPr>
      <w:r>
        <w:rPr/>
      </w:r>
    </w:p>
    <w:p>
      <w:pPr>
        <w:pStyle w:val="Normal"/>
        <w:keepNext w:val="true"/>
        <w:widowControl/>
        <w:ind w:firstLine="720" w:end="0"/>
        <w:jc w:val="both"/>
        <w:rPr/>
      </w:pPr>
      <w:r>
        <w:rPr/>
        <w:t>5.2</w:t>
        <w:tab/>
      </w:r>
      <w:r>
        <w:rPr>
          <w:u w:val="single"/>
        </w:rPr>
        <w:t>Allocation of Profits and Losses</w:t>
      </w:r>
      <w:r>
        <w:rPr/>
        <w:t>.</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jc w:val="both"/>
        <w:rPr/>
      </w:pPr>
      <w:r>
        <w:rPr/>
      </w:r>
    </w:p>
    <w:p>
      <w:pPr>
        <w:pStyle w:val="Normal"/>
        <w:widowControl/>
        <w:ind w:firstLine="720" w:start="1440" w:end="0"/>
        <w:jc w:val="both"/>
        <w:rPr/>
      </w:pPr>
      <w:r>
        <w:rPr/>
        <w:t>(iv)</w:t>
        <w:tab/>
        <w:t>Fourth, to ENA and to Delta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Delta, until the cumulative Losses allocated to Delta for the current and all prior Fiscal Years is equal to the excess of (A) the cumulative allocations of Profits allocated to Delta pursuant to Section 5.2(a)(iv) for all prior Fiscal Years, over (B) the cumulative distributions of Distributable Cash made to Delta pursuant to Section 5.3(a)(i)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Delta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jc w:val="both"/>
        <w:rPr/>
      </w:pPr>
      <w:r>
        <w:rPr/>
      </w:r>
    </w:p>
    <w:p>
      <w:pPr>
        <w:pStyle w:val="Normal"/>
        <w:widowControl/>
        <w:ind w:firstLine="720" w:start="1440" w:end="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jc w:val="both"/>
        <w:rPr/>
      </w:pPr>
      <w:r>
        <w:rPr/>
      </w:r>
    </w:p>
    <w:p>
      <w:pPr>
        <w:pStyle w:val="Normal"/>
        <w:widowControl/>
        <w:ind w:firstLine="720" w:start="1440" w:end="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jc w:val="both"/>
        <w:rPr/>
      </w:pPr>
      <w:r>
        <w:rPr/>
      </w:r>
    </w:p>
    <w:p>
      <w:pPr>
        <w:pStyle w:val="Normal"/>
        <w:widowControl/>
        <w:ind w:firstLine="720" w:end="0"/>
        <w:jc w:val="both"/>
        <w:rPr/>
      </w:pPr>
      <w:r>
        <w:rPr/>
        <w:t>5.3</w:t>
        <w:tab/>
      </w:r>
      <w:r>
        <w:rPr>
          <w:u w:val="single"/>
        </w:rPr>
        <w:t>Distributions</w:t>
      </w:r>
      <w:r>
        <w:rPr/>
        <w:t>.</w:t>
      </w:r>
    </w:p>
    <w:p>
      <w:pPr>
        <w:pStyle w:val="Normal"/>
        <w:widowControl/>
        <w:jc w:val="both"/>
        <w:rPr/>
      </w:pPr>
      <w:r>
        <w:rPr/>
      </w:r>
    </w:p>
    <w:p>
      <w:pPr>
        <w:pStyle w:val="Normal"/>
        <w:widowControl/>
        <w:ind w:firstLine="1440" w:end="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p>
    <w:p>
      <w:pPr>
        <w:pStyle w:val="Normal"/>
        <w:widowControl/>
        <w:jc w:val="both"/>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jc w:val="center"/>
        <w:rPr/>
      </w:pPr>
      <w:r>
        <w:rPr/>
      </w:r>
    </w:p>
    <w:p>
      <w:pPr>
        <w:pStyle w:val="Normal"/>
        <w:widowControl/>
        <w:ind w:firstLine="720" w:end="0"/>
        <w:jc w:val="both"/>
        <w:rPr/>
      </w:pPr>
      <w:r>
        <w:rPr/>
        <w:t>6.1</w:t>
        <w:tab/>
      </w:r>
      <w:r>
        <w:rPr>
          <w:u w:val="single"/>
        </w:rPr>
        <w:t>Transfer of Interests</w:t>
      </w:r>
      <w:r>
        <w:rPr/>
        <w:t>.</w:t>
      </w:r>
    </w:p>
    <w:p>
      <w:pPr>
        <w:pStyle w:val="Normal"/>
        <w:widowControl/>
        <w:jc w:val="both"/>
        <w:rPr/>
      </w:pPr>
      <w:r>
        <w:rPr/>
      </w:r>
    </w:p>
    <w:p>
      <w:pPr>
        <w:pStyle w:val="Normal"/>
        <w:widowControl/>
        <w:ind w:firstLine="1440" w:end="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Delta or the Put Rights of ENA; </w:t>
      </w:r>
    </w:p>
    <w:p>
      <w:pPr>
        <w:pStyle w:val="Normal"/>
        <w:widowControl/>
        <w:jc w:val="both"/>
        <w:rPr/>
      </w:pPr>
      <w:r>
        <w:rPr/>
      </w:r>
    </w:p>
    <w:p>
      <w:pPr>
        <w:pStyle w:val="Normal"/>
        <w:widowControl/>
        <w:ind w:firstLine="2160" w:end="0"/>
        <w:jc w:val="both"/>
        <w:rPr/>
      </w:pPr>
      <w:r>
        <w:rPr/>
        <w:t>(ii)</w:t>
        <w:tab/>
        <w:t>is to an Affiliate of the transferring Member;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t>6.2</w:t>
        <w:tab/>
      </w:r>
      <w:r>
        <w:rPr>
          <w:u w:val="single"/>
        </w:rPr>
        <w:t>Call and Put Arrangements</w:t>
      </w:r>
      <w:r>
        <w:rPr/>
        <w:t>.</w:t>
      </w:r>
    </w:p>
    <w:p>
      <w:pPr>
        <w:pStyle w:val="Normal"/>
        <w:widowControl/>
        <w:jc w:val="both"/>
        <w:rPr/>
      </w:pPr>
      <w:r>
        <w:rPr/>
      </w:r>
    </w:p>
    <w:p>
      <w:pPr>
        <w:pStyle w:val="Normal"/>
        <w:widowControl/>
        <w:ind w:firstLine="1440" w:end="0"/>
        <w:jc w:val="both"/>
        <w:rPr/>
      </w:pPr>
      <w:r>
        <w:rPr/>
        <w:t>(a)</w:t>
        <w:tab/>
        <w:t>Delta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2001.  The price to be paid by Delta for the ENA Interest at the Call Closing following exercise of the Call Right by Delta shall be Two Hundred and No/100 Dollars ($200.00) (the “</w:t>
      </w:r>
      <w:r>
        <w:rPr>
          <w:u w:val="single"/>
        </w:rPr>
        <w:t>Call Price</w:t>
      </w:r>
      <w:r>
        <w:rPr/>
        <w:t>”).</w:t>
      </w:r>
    </w:p>
    <w:p>
      <w:pPr>
        <w:pStyle w:val="Normal"/>
        <w:widowControl/>
        <w:jc w:val="both"/>
        <w:rPr/>
      </w:pPr>
      <w:r>
        <w:rPr/>
      </w:r>
    </w:p>
    <w:p>
      <w:pPr>
        <w:pStyle w:val="Normal"/>
        <w:widowControl/>
        <w:ind w:firstLine="1440" w:end="0"/>
        <w:jc w:val="both"/>
        <w:rPr/>
      </w:pPr>
      <w:r>
        <w:rPr/>
        <w:t>(b)</w:t>
        <w:tab/>
        <w:t>Delta may exercise its Call Right by delivering no less than five (5) Business Days prior written notice to ENA in accordance with this Agreement.  If Delta exercises the Call Right, then Delta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Delta to revoke its exercise of the Call Right at any time, which revocation shall not limit Delta’s right to exercise the Call Right again.  At the Call Closing, Delta shall pay to ENA the Call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t>(c)</w:t>
        <w:tab/>
        <w:t>ENA shall have the right in its sole discretion to require Delta to purchase the ENA Interest (the “</w:t>
      </w:r>
      <w:r>
        <w:rPr>
          <w:u w:val="single"/>
        </w:rPr>
        <w:t>Put Right</w:t>
      </w:r>
      <w:r>
        <w:rPr/>
        <w:t>”) at any time on or after (i) the date on which the GE Equipment achieves Takeover, or (ii) December 31, 2002.  The price to be paid by Delta for the ENA Interest at the Put Closing following exercise of the Put Right by ENA shall be Two Hundred and No/100 Dollars ($200.00) (the “</w:t>
      </w:r>
      <w:r>
        <w:rPr>
          <w:u w:val="single"/>
        </w:rPr>
        <w:t>Put Price</w:t>
      </w:r>
      <w:r>
        <w:rPr/>
        <w:t>”).</w:t>
      </w:r>
    </w:p>
    <w:p>
      <w:pPr>
        <w:pStyle w:val="Normal"/>
        <w:widowControl/>
        <w:jc w:val="both"/>
        <w:rPr/>
      </w:pPr>
      <w:r>
        <w:rPr/>
      </w:r>
    </w:p>
    <w:p>
      <w:pPr>
        <w:pStyle w:val="Normal"/>
        <w:widowControl/>
        <w:ind w:firstLine="1440" w:end="0"/>
        <w:jc w:val="both"/>
        <w:rPr/>
      </w:pPr>
      <w:r>
        <w:rPr/>
        <w:t>(d)</w:t>
        <w:tab/>
        <w:t>ENA may exercise its Put Right by delivering no less than five (5) Business Days prior written notice to Delta in accordance with this Agreement.  If ENA exercises the Put Right, then Delta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Delta shall pay to ENA the Put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At the Call Closing or Put Closing, ENA will (1) deliver to Delta all certificates, if any, representing the ENA Interest and an assignment of the ENA Interest to Delta (in form reasonably acceptable to Delta) duly executed by ENA and any other then owner of the ENA Interest, and (2) represent and warrant to Delta that upon the delivery of the assignment of the ENA Interest to Delta as contemplated by this Agreement and payment therefor as contemplated by this Agreement, Delta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Delta.</w:t>
      </w:r>
    </w:p>
    <w:p>
      <w:pPr>
        <w:pStyle w:val="Normal"/>
        <w:widowControl/>
        <w:jc w:val="both"/>
        <w:rPr/>
      </w:pPr>
      <w:r>
        <w:rPr/>
      </w:r>
    </w:p>
    <w:p>
      <w:pPr>
        <w:pStyle w:val="Normal"/>
        <w:widowControl/>
        <w:ind w:firstLine="720" w:end="0"/>
        <w:jc w:val="both"/>
        <w:rPr/>
      </w:pPr>
      <w:r>
        <w:rPr/>
        <w:t>6.3</w:t>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jc w:val="both"/>
        <w:rPr/>
      </w:pPr>
      <w:r>
        <w:rPr/>
      </w:r>
    </w:p>
    <w:p>
      <w:pPr>
        <w:pStyle w:val="Normal"/>
        <w:keepNext w:val="true"/>
        <w:keepLines/>
        <w:widowControl/>
        <w:ind w:firstLine="720" w:end="0"/>
        <w:jc w:val="both"/>
        <w:rPr/>
      </w:pPr>
      <w:r>
        <w:rPr/>
        <w:t>6.4</w:t>
        <w:tab/>
      </w:r>
      <w:r>
        <w:rPr>
          <w:u w:val="single"/>
        </w:rPr>
        <w:t>Limited Liability; Indemnification of Members</w:t>
      </w:r>
      <w:r>
        <w:rPr/>
        <w:t xml:space="preserve">.  </w:t>
      </w:r>
    </w:p>
    <w:p>
      <w:pPr>
        <w:pStyle w:val="Normal"/>
        <w:keepNext w:val="true"/>
        <w:keepLines/>
        <w:widowControl/>
        <w:jc w:val="both"/>
        <w:rPr/>
      </w:pPr>
      <w:r>
        <w:rPr/>
      </w:r>
    </w:p>
    <w:p>
      <w:pPr>
        <w:pStyle w:val="Normal"/>
        <w:keepNext w:val="true"/>
        <w:keepLines/>
        <w:widowControl/>
        <w:ind w:firstLine="1440" w:end="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jc w:val="both"/>
        <w:rPr/>
      </w:pPr>
      <w:r>
        <w:rPr/>
      </w:r>
    </w:p>
    <w:p>
      <w:pPr>
        <w:pStyle w:val="Normal"/>
        <w:widowControl/>
        <w:ind w:firstLine="1440" w:end="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jc w:val="both"/>
        <w:rPr/>
      </w:pPr>
      <w:r>
        <w:rPr/>
      </w:r>
    </w:p>
    <w:p>
      <w:pPr>
        <w:pStyle w:val="Normal"/>
        <w:widowControl/>
        <w:ind w:firstLine="720" w:end="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Heading2"/>
        <w:ind w:hanging="0" w:start="0"/>
        <w:rPr/>
      </w:pPr>
      <w:r>
        <w:rPr/>
        <w:t>WITHDRAWAL; DISSOLUTION</w:t>
      </w:r>
    </w:p>
    <w:p>
      <w:pPr>
        <w:pStyle w:val="Normal"/>
        <w:keepNext w:val="true"/>
        <w:widowControl/>
        <w:jc w:val="both"/>
        <w:rPr/>
      </w:pPr>
      <w:r>
        <w:rPr/>
      </w:r>
    </w:p>
    <w:p>
      <w:pPr>
        <w:pStyle w:val="Normal"/>
        <w:keepNext w:val="true"/>
        <w:widowControl/>
        <w:ind w:firstLine="720" w:end="0"/>
        <w:jc w:val="both"/>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jc w:val="both"/>
        <w:rPr/>
      </w:pPr>
      <w:r>
        <w:rPr/>
      </w:r>
    </w:p>
    <w:p>
      <w:pPr>
        <w:pStyle w:val="Normal"/>
        <w:widowControl/>
        <w:ind w:firstLine="1440" w:end="0"/>
        <w:jc w:val="both"/>
        <w:rPr/>
      </w:pPr>
      <w:r>
        <w:rPr/>
        <w:t>(b)</w:t>
        <w:tab/>
        <w:t>The balance, if any, to the Members to the extent of, and in proportion to, the positive balances of their respective Capital Accounts.</w:t>
      </w:r>
    </w:p>
    <w:p>
      <w:pPr>
        <w:pStyle w:val="Normal"/>
        <w:widowControl/>
        <w:jc w:val="both"/>
        <w:rPr/>
      </w:pPr>
      <w:r>
        <w:rPr/>
      </w:r>
    </w:p>
    <w:p>
      <w:pPr>
        <w:pStyle w:val="Normal"/>
        <w:widowControl/>
        <w:ind w:firstLine="720" w:end="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jc w:val="both"/>
        <w:rPr/>
      </w:pPr>
      <w:r>
        <w:rPr/>
      </w:r>
    </w:p>
    <w:p>
      <w:pPr>
        <w:pStyle w:val="Normal"/>
        <w:widowControl/>
        <w:ind w:firstLine="720" w:end="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8</w:t>
      </w:r>
    </w:p>
    <w:p>
      <w:pPr>
        <w:pStyle w:val="Heading2"/>
        <w:ind w:hanging="0" w:start="0"/>
        <w:rPr/>
      </w:pPr>
      <w:r>
        <w:rPr/>
        <w:t>INVESTMENT REPRESENTATIONS OF THE MEMBERS</w:t>
      </w:r>
    </w:p>
    <w:p>
      <w:pPr>
        <w:pStyle w:val="Normal"/>
        <w:widowControl/>
        <w:jc w:val="center"/>
        <w:rPr/>
      </w:pPr>
      <w:r>
        <w:rPr/>
      </w:r>
    </w:p>
    <w:p>
      <w:pPr>
        <w:pStyle w:val="Normal"/>
        <w:widowControl/>
        <w:ind w:firstLine="720" w:end="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jc w:val="both"/>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Delta, to:</w:t>
      </w:r>
    </w:p>
    <w:p>
      <w:pPr>
        <w:pStyle w:val="Normal"/>
        <w:keepNext w:val="true"/>
        <w:widowControl/>
        <w:jc w:val="both"/>
        <w:rPr/>
      </w:pPr>
      <w:r>
        <w:rPr/>
      </w:r>
    </w:p>
    <w:p>
      <w:pPr>
        <w:pStyle w:val="Normal"/>
        <w:keepNext w:val="true"/>
        <w:widowControl/>
        <w:ind w:firstLine="2160" w:end="0"/>
        <w:jc w:val="both"/>
        <w:rPr/>
      </w:pPr>
      <w:r>
        <w:rPr/>
        <w:t>Delta Power Company LLC</w:t>
      </w:r>
    </w:p>
    <w:p>
      <w:pPr>
        <w:pStyle w:val="Normal"/>
        <w:keepNext w:val="true"/>
        <w:widowControl/>
        <w:ind w:firstLine="2160" w:end="0"/>
        <w:jc w:val="both"/>
        <w:rPr/>
      </w:pPr>
      <w:r>
        <w:rPr/>
        <w:t xml:space="preserve">89 Headquarter Plaza </w:t>
      </w:r>
    </w:p>
    <w:p>
      <w:pPr>
        <w:pStyle w:val="Normal"/>
        <w:keepNext w:val="true"/>
        <w:widowControl/>
        <w:ind w:firstLine="2160" w:end="0"/>
        <w:jc w:val="both"/>
        <w:rPr/>
      </w:pPr>
      <w:r>
        <w:rPr/>
        <w:t>North Tower, 14</w:t>
      </w:r>
      <w:r>
        <w:rPr>
          <w:vertAlign w:val="superscript"/>
        </w:rPr>
        <w:t>th</w:t>
      </w:r>
      <w:r>
        <w:rPr/>
        <w:t xml:space="preserve"> Floor</w:t>
      </w:r>
    </w:p>
    <w:p>
      <w:pPr>
        <w:pStyle w:val="Normal"/>
        <w:keepNext w:val="true"/>
        <w:widowControl/>
        <w:ind w:firstLine="2160" w:end="0"/>
        <w:jc w:val="both"/>
        <w:rPr/>
      </w:pPr>
      <w:r>
        <w:rPr/>
        <w:t>Morristown, New Jersey  07960</w:t>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jc w:val="both"/>
        <w:rPr/>
      </w:pPr>
      <w:r>
        <w:rPr/>
      </w:r>
    </w:p>
    <w:p>
      <w:pPr>
        <w:pStyle w:val="Normal"/>
        <w:widowControl/>
        <w:ind w:firstLine="720" w:end="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jc w:val="both"/>
        <w:rPr/>
      </w:pPr>
      <w:r>
        <w:rPr/>
      </w:r>
    </w:p>
    <w:p>
      <w:pPr>
        <w:pStyle w:val="Normal"/>
        <w:widowControl/>
        <w:ind w:firstLine="720" w:end="0"/>
        <w:jc w:val="both"/>
        <w:rPr/>
      </w:pPr>
      <w:r>
        <w:rPr/>
        <w:t>10.5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jc w:val="both"/>
        <w:rPr/>
      </w:pPr>
      <w:r>
        <w:rPr/>
      </w:r>
    </w:p>
    <w:p>
      <w:pPr>
        <w:pStyle w:val="Normal"/>
        <w:widowControl/>
        <w:ind w:firstLine="720" w:end="0"/>
        <w:jc w:val="both"/>
        <w:rPr/>
      </w:pPr>
      <w:r>
        <w:rPr/>
        <w:t>10.8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jc w:val="both"/>
        <w:rPr/>
      </w:pPr>
      <w:r>
        <w:rPr/>
      </w:r>
    </w:p>
    <w:p>
      <w:pPr>
        <w:pStyle w:val="Normal"/>
        <w:widowControl/>
        <w:ind w:firstLine="720" w:end="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r>
      <w:r>
        <w:rPr>
          <w:bCs/>
          <w:sz w:val="22"/>
        </w:rPr>
        <w:t>(</w:t>
      </w:r>
      <w:r>
        <w:rPr>
          <w:bCs/>
        </w:rPr>
        <w:t>a)</w:t>
      </w:r>
      <w:r>
        <w:rPr/>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w:t>
      </w:r>
      <w:r>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w:t>
      </w:r>
      <w:r>
        <w:rPr/>
        <w:tab/>
        <w:t>The respondent Party shall have twenty (20)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(iii)</w:t>
      </w:r>
      <w:r>
        <w:rPr/>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bCs/>
        </w:rPr>
        <w:t>(1)</w:t>
      </w:r>
      <w:r>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Cs/>
        </w:rPr>
        <w:t>(2)</w:t>
      </w:r>
      <w:r>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pPr>
      <w:r>
        <w:rPr/>
      </w:r>
    </w:p>
    <w:p>
      <w:pPr>
        <w:pStyle w:val="Normal"/>
        <w:widowControl/>
        <w:ind w:firstLine="720" w:start="1440" w:end="0"/>
        <w:jc w:val="both"/>
        <w:rPr/>
      </w:pPr>
      <w:r>
        <w:rPr>
          <w:bCs/>
        </w:rPr>
        <w:t>(3)</w:t>
      </w:r>
      <w:r>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(iv)</w:t>
      </w:r>
      <w:r>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w:t>
      </w:r>
      <w:r>
        <w:rPr/>
        <w:tab/>
        <w:t>Within thirty (30)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bCs/>
        </w:rPr>
        <w:t>(1)</w:t>
      </w:r>
      <w:r>
        <w:rPr/>
        <w:tab/>
        <w:t>The arbitration hearing shall be held in Houston, Texas, at a location mutually agreed by the Parties, or failing such agreement, at a location determined by the arbitration panel;</w:t>
      </w:r>
    </w:p>
    <w:p>
      <w:pPr>
        <w:pStyle w:val="Normal"/>
        <w:widowControl/>
        <w:jc w:val="both"/>
        <w:rPr/>
      </w:pPr>
      <w:r>
        <w:rPr/>
      </w:r>
    </w:p>
    <w:p>
      <w:pPr>
        <w:pStyle w:val="Normal"/>
        <w:widowControl/>
        <w:ind w:firstLine="720" w:start="1440" w:end="0"/>
        <w:jc w:val="both"/>
        <w:rPr/>
      </w:pPr>
      <w:r>
        <w:rPr>
          <w:bCs/>
        </w:rPr>
        <w:t>(2)</w:t>
      </w:r>
      <w:r>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bCs/>
        </w:rPr>
        <w:t>(3)</w:t>
      </w:r>
      <w:r>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w:t>
        <w:tab/>
      </w:r>
      <w:r>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bCs/>
        </w:rPr>
        <w:t>(1)</w:t>
        <w:tab/>
      </w:r>
      <w:r>
        <w:rPr/>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bCs/>
        </w:rPr>
        <w:t>(2)</w:t>
      </w:r>
      <w:r>
        <w:rPr/>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bCs/>
        </w:rPr>
        <w:t>(3)</w:t>
      </w:r>
      <w:r>
        <w:rPr/>
        <w:tab/>
        <w:t>The arbitrators may award costs of the arbitration proceeding, excluding attorneys’ fees and also excluding the costs apportioned pursuant to clause (vii) below.</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w:t>
      </w:r>
      <w:r>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(viii)</w:t>
        <w:tab/>
      </w:r>
      <w:r>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bCs/>
        </w:rPr>
        <w:t>(ix)</w:t>
        <w:tab/>
      </w:r>
      <w:r>
        <w:rPr/>
        <w:t>All time limits stated in this section are for the convenience of the Parties and may be altered upon mutual agreement of the parties.</w:t>
      </w:r>
    </w:p>
    <w:p>
      <w:pPr>
        <w:pStyle w:val="Normal"/>
        <w:widowControl/>
        <w:jc w:val="both"/>
        <w:rPr>
          <w:color w:val="000000"/>
        </w:rPr>
      </w:pPr>
      <w:r>
        <w:rPr>
          <w:color w:val="000000"/>
        </w:rPr>
      </w:r>
    </w:p>
    <w:p>
      <w:pPr>
        <w:pStyle w:val="Normal"/>
        <w:widowControl/>
        <w:ind w:firstLine="1440" w:end="0"/>
        <w:jc w:val="both"/>
        <w:rPr/>
      </w:pPr>
      <w:r>
        <w:rPr>
          <w:bCs/>
        </w:rPr>
        <w:t>(b)</w:t>
      </w:r>
      <w:r>
        <w:rPr/>
        <w:tab/>
      </w:r>
      <w:r>
        <w:rPr>
          <w:u w:val="single"/>
        </w:rPr>
        <w:t>Sole and Exclusive Remedy</w:t>
      </w:r>
      <w:r>
        <w:rPr/>
        <w:t>.  The procedures specified in this Section 10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jc w:val="both"/>
        <w:rPr>
          <w:color w:val="000000"/>
          <w:sz w:val="22"/>
        </w:rPr>
      </w:pPr>
      <w:r>
        <w:rPr>
          <w:color w:val="000000"/>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43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b/>
        </w:rPr>
      </w:pPr>
      <w:r>
        <w:rPr>
          <w:b/>
        </w:rPr>
        <w:t xml:space="preserve">DELTA POWER COMPANY LLC </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r>
    </w:p>
    <w:p>
      <w:pPr>
        <w:pStyle w:val="Normal"/>
        <w:widowControl/>
        <w:jc w:val="center"/>
        <w:rPr>
          <w:b/>
          <w:u w:val="single"/>
        </w:rPr>
      </w:pPr>
      <w:r>
        <w:rPr>
          <w:b/>
          <w:u w:val="single"/>
        </w:rPr>
        <w:t>ANNEX A</w:t>
      </w:r>
    </w:p>
    <w:p>
      <w:pPr>
        <w:pStyle w:val="Normal"/>
        <w:widowControl/>
        <w:jc w:val="center"/>
        <w:rPr/>
      </w:pPr>
      <w:r>
        <w:rPr/>
      </w:r>
    </w:p>
    <w:p>
      <w:pPr>
        <w:pStyle w:val="Heading3"/>
        <w:ind w:hanging="0" w:start="0"/>
        <w:rPr/>
      </w:pPr>
      <w:r>
        <w:rPr/>
        <w:t>DEFINITIONS</w:t>
      </w:r>
    </w:p>
    <w:p>
      <w:pPr>
        <w:pStyle w:val="Normal"/>
        <w:widowControl/>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jc w:val="both"/>
        <w:rPr/>
      </w:pPr>
      <w:r>
        <w:rPr/>
      </w:r>
    </w:p>
    <w:p>
      <w:pPr>
        <w:pStyle w:val="Normal"/>
        <w:widowControl/>
        <w:ind w:firstLine="1440" w:end="0"/>
        <w:jc w:val="both"/>
        <w:rPr/>
      </w:pPr>
      <w:r>
        <w:rPr/>
        <w:t>“</w:t>
      </w:r>
      <w:r>
        <w:rPr>
          <w:u w:val="single"/>
        </w:rPr>
        <w:t>Board</w:t>
      </w:r>
      <w:r>
        <w:rPr/>
        <w:t xml:space="preserve">” is defined in Section 4.1(a). </w:t>
      </w:r>
    </w:p>
    <w:p>
      <w:pPr>
        <w:pStyle w:val="Normal"/>
        <w:widowControl/>
        <w:jc w:val="both"/>
        <w:rPr/>
      </w:pPr>
      <w:r>
        <w:rPr/>
      </w:r>
    </w:p>
    <w:p>
      <w:pPr>
        <w:pStyle w:val="Normal"/>
        <w:widowControl/>
        <w:ind w:firstLine="1440" w:end="0"/>
        <w:jc w:val="both"/>
        <w:rPr/>
      </w:pPr>
      <w:r>
        <w:rPr/>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6.2(b).</w:t>
      </w:r>
    </w:p>
    <w:p>
      <w:pPr>
        <w:pStyle w:val="Normal"/>
        <w:widowControl/>
        <w:jc w:val="both"/>
        <w:rPr/>
      </w:pPr>
      <w:r>
        <w:rPr/>
      </w:r>
    </w:p>
    <w:p>
      <w:pPr>
        <w:pStyle w:val="Normal"/>
        <w:widowControl/>
        <w:ind w:firstLine="1440" w:end="0"/>
        <w:jc w:val="both"/>
        <w:rPr/>
      </w:pPr>
      <w:r>
        <w:rPr/>
        <w:t>“</w:t>
      </w:r>
      <w:r>
        <w:rPr>
          <w:u w:val="single"/>
        </w:rPr>
        <w:t>Call Price</w:t>
      </w:r>
      <w:r>
        <w:rPr/>
        <w:t>” is defined in Section 6.2(a).</w:t>
      </w:r>
    </w:p>
    <w:p>
      <w:pPr>
        <w:pStyle w:val="Normal"/>
        <w:widowControl/>
        <w:jc w:val="both"/>
        <w:rPr/>
      </w:pPr>
      <w:r>
        <w:rPr/>
      </w:r>
    </w:p>
    <w:p>
      <w:pPr>
        <w:pStyle w:val="Normal"/>
        <w:widowControl/>
        <w:ind w:firstLine="1440" w:end="0"/>
        <w:jc w:val="both"/>
        <w:rPr/>
      </w:pPr>
      <w:r>
        <w:rPr/>
        <w:t>“</w:t>
      </w:r>
      <w:r>
        <w:rPr>
          <w:u w:val="single"/>
        </w:rPr>
        <w:t>Call Right</w:t>
      </w:r>
      <w:r>
        <w:rPr/>
        <w:t>” is defined in Section 6.2(a).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5.1(b).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jc w:val="both"/>
        <w:rPr/>
      </w:pPr>
      <w:r>
        <w:rPr/>
      </w:r>
    </w:p>
    <w:p>
      <w:pPr>
        <w:pStyle w:val="Normal"/>
        <w:widowControl/>
        <w:ind w:firstLine="1440" w:end="0"/>
        <w:jc w:val="both"/>
        <w:rPr/>
      </w:pPr>
      <w:r>
        <w:rPr/>
        <w:t>“</w:t>
      </w:r>
      <w:r>
        <w:rPr>
          <w:u w:val="single"/>
        </w:rPr>
        <w:t>Certificate</w:t>
      </w:r>
      <w:r>
        <w:rPr/>
        <w:t>” means the certificate of formation of the Company, filed with the Secretary of State of the State of Delaware on ________________, 2001.</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Delta</w:t>
      </w:r>
      <w:r>
        <w:rPr/>
        <w:t>” is defined in the preamble.</w:t>
      </w:r>
    </w:p>
    <w:p>
      <w:pPr>
        <w:pStyle w:val="Normal"/>
        <w:widowControl/>
        <w:jc w:val="both"/>
        <w:rPr/>
      </w:pPr>
      <w:r>
        <w:rPr/>
      </w:r>
    </w:p>
    <w:p>
      <w:pPr>
        <w:pStyle w:val="Normal"/>
        <w:widowControl/>
        <w:ind w:firstLine="1440" w:end="0"/>
        <w:jc w:val="both"/>
        <w:rPr/>
      </w:pPr>
      <w:r>
        <w:rPr/>
        <w:t>“</w:t>
      </w:r>
      <w:r>
        <w:rPr>
          <w:u w:val="single"/>
        </w:rPr>
        <w:t>Delta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Director</w:t>
      </w:r>
      <w:r>
        <w:rPr/>
        <w:t>”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7.2.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less Reserves.</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Delta,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jc w:val="both"/>
        <w:rPr/>
      </w:pPr>
      <w:r>
        <w:rPr/>
      </w:r>
    </w:p>
    <w:p>
      <w:pPr>
        <w:pStyle w:val="Normal"/>
        <w:widowControl/>
        <w:ind w:firstLine="1440" w:end="0"/>
        <w:jc w:val="both"/>
        <w:rPr/>
      </w:pPr>
      <w:r>
        <w:rPr/>
        <w:t>“</w:t>
      </w:r>
      <w:r>
        <w:rPr>
          <w:u w:val="single"/>
        </w:rPr>
        <w:t>Fiscal Year</w:t>
      </w:r>
      <w:r>
        <w:rPr/>
        <w:t xml:space="preserve">” shall mean the fiscal year of the Company. </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 Packaged Power, Inc.</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jc w:val="both"/>
        <w:rPr/>
      </w:pPr>
      <w:r>
        <w:rPr/>
      </w:r>
    </w:p>
    <w:p>
      <w:pPr>
        <w:pStyle w:val="Normal"/>
        <w:widowControl/>
        <w:ind w:firstLine="1440" w:end="0"/>
        <w:jc w:val="both"/>
        <w:rPr/>
      </w:pPr>
      <w:r>
        <w:rPr/>
        <w:t>“</w:t>
      </w:r>
      <w:r>
        <w:rPr>
          <w:u w:val="single"/>
        </w:rPr>
        <w:t>Letter Agreement</w:t>
      </w:r>
      <w:r>
        <w:rPr/>
        <w:t>” means (i) that certain letter agreement dated as of _____________, 2001, between ENA and Delta relating to the GE Equipment and the transaction evidenced by this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7.3. </w:t>
      </w:r>
    </w:p>
    <w:p>
      <w:pPr>
        <w:pStyle w:val="Normal"/>
        <w:widowControl/>
        <w:jc w:val="both"/>
        <w:rPr/>
      </w:pPr>
      <w:r>
        <w:rPr/>
      </w:r>
    </w:p>
    <w:p>
      <w:pPr>
        <w:pStyle w:val="Normal"/>
        <w:widowControl/>
        <w:ind w:firstLine="1440" w:end="0"/>
        <w:jc w:val="both"/>
        <w:rPr/>
      </w:pPr>
      <w:r>
        <w:rPr/>
        <w:t>“</w:t>
      </w:r>
      <w:r>
        <w:rPr>
          <w:u w:val="single"/>
        </w:rPr>
        <w:t>Member</w:t>
      </w:r>
      <w:r>
        <w:rPr/>
        <w:t>” means ENA or Delta .</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6.1(c).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5.2(d) hereof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jc w:val="both"/>
        <w:rPr/>
      </w:pPr>
      <w:r>
        <w:rPr/>
      </w:r>
    </w:p>
    <w:p>
      <w:pPr>
        <w:pStyle w:val="Normal"/>
        <w:widowControl/>
        <w:ind w:firstLine="1440" w:end="0"/>
        <w:jc w:val="both"/>
        <w:rPr/>
      </w:pPr>
      <w:r>
        <w:rPr/>
        <w:t>“</w:t>
      </w:r>
      <w:r>
        <w:rPr>
          <w:u w:val="single"/>
        </w:rPr>
        <w:t>Project</w:t>
      </w:r>
      <w:r>
        <w:rPr/>
        <w:t>” is defined in Section 2.2.</w:t>
      </w:r>
    </w:p>
    <w:p>
      <w:pPr>
        <w:pStyle w:val="Normal"/>
        <w:widowControl/>
        <w:jc w:val="both"/>
        <w:rPr/>
      </w:pPr>
      <w:r>
        <w:rPr/>
      </w:r>
    </w:p>
    <w:p>
      <w:pPr>
        <w:pStyle w:val="Normal"/>
        <w:widowControl/>
        <w:ind w:firstLine="1440" w:end="0"/>
        <w:jc w:val="both"/>
        <w:rPr/>
      </w:pPr>
      <w:r>
        <w:rPr/>
        <w:t>“</w:t>
      </w:r>
      <w:r>
        <w:rPr>
          <w:u w:val="single"/>
        </w:rPr>
        <w:t>Put Closing</w:t>
      </w:r>
      <w:r>
        <w:rPr/>
        <w:t>” is defined in Section 6.2(d).</w:t>
      </w:r>
    </w:p>
    <w:p>
      <w:pPr>
        <w:pStyle w:val="Normal"/>
        <w:widowControl/>
        <w:jc w:val="both"/>
        <w:rPr/>
      </w:pPr>
      <w:r>
        <w:rPr/>
      </w:r>
    </w:p>
    <w:p>
      <w:pPr>
        <w:pStyle w:val="Normal"/>
        <w:widowControl/>
        <w:ind w:firstLine="1440" w:end="0"/>
        <w:jc w:val="both"/>
        <w:rPr/>
      </w:pPr>
      <w:r>
        <w:rPr/>
        <w:t>“</w:t>
      </w:r>
      <w:r>
        <w:rPr>
          <w:u w:val="single"/>
        </w:rPr>
        <w:t>Put Price</w:t>
      </w:r>
      <w:r>
        <w:rPr/>
        <w:t>” is defined in Section 6.2(c).</w:t>
      </w:r>
    </w:p>
    <w:p>
      <w:pPr>
        <w:pStyle w:val="Normal"/>
        <w:widowControl/>
        <w:jc w:val="both"/>
        <w:rPr/>
      </w:pPr>
      <w:r>
        <w:rPr/>
      </w:r>
    </w:p>
    <w:p>
      <w:pPr>
        <w:pStyle w:val="Normal"/>
        <w:widowControl/>
        <w:ind w:firstLine="1440" w:end="0"/>
        <w:jc w:val="both"/>
        <w:rPr/>
      </w:pPr>
      <w:r>
        <w:rPr/>
        <w:t>“</w:t>
      </w:r>
      <w:r>
        <w:rPr>
          <w:u w:val="single"/>
        </w:rPr>
        <w:t>Put Right</w:t>
      </w:r>
      <w:r>
        <w:rPr/>
        <w:t>” is defined in Section 6.2(c).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5.2(d)(viii).</w:t>
      </w:r>
    </w:p>
    <w:p>
      <w:pPr>
        <w:pStyle w:val="Normal"/>
        <w:widowControl/>
        <w:jc w:val="both"/>
        <w:rPr/>
      </w:pPr>
      <w:r>
        <w:rPr/>
      </w:r>
    </w:p>
    <w:p>
      <w:pPr>
        <w:pStyle w:val="Normal"/>
        <w:widowControl/>
        <w:ind w:firstLine="1440" w:end="0"/>
        <w:jc w:val="both"/>
        <w:rPr/>
      </w:pPr>
      <w:r>
        <w:rPr/>
        <w:t>“</w:t>
      </w:r>
      <w:r>
        <w:rPr>
          <w:u w:val="single"/>
        </w:rPr>
        <w:t>Representatives</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Restriction</w:t>
      </w:r>
      <w:r>
        <w:rPr/>
        <w:t>” is defined in Section 6.1(a).</w:t>
      </w:r>
    </w:p>
    <w:p>
      <w:pPr>
        <w:pStyle w:val="Normal"/>
        <w:widowControl/>
        <w:jc w:val="both"/>
        <w:rPr/>
      </w:pPr>
      <w:r>
        <w:rPr/>
      </w:r>
    </w:p>
    <w:p>
      <w:pPr>
        <w:pStyle w:val="Normal"/>
        <w:widowControl/>
        <w:ind w:firstLine="1440" w:end="0"/>
        <w:jc w:val="both"/>
        <w:rPr/>
      </w:pPr>
      <w:r>
        <w:rPr/>
        <w:t>“</w:t>
      </w:r>
      <w:r>
        <w:rPr>
          <w:u w:val="single"/>
        </w:rPr>
        <w:t>Securities Act</w:t>
      </w:r>
      <w:r>
        <w:rPr/>
        <w:t>” is defined in Section 6.5.</w:t>
      </w:r>
    </w:p>
    <w:p>
      <w:pPr>
        <w:pStyle w:val="Normal"/>
        <w:widowControl/>
        <w:jc w:val="both"/>
        <w:rPr/>
      </w:pPr>
      <w:r>
        <w:rPr/>
      </w:r>
    </w:p>
    <w:p>
      <w:pPr>
        <w:pStyle w:val="Normal"/>
        <w:widowControl/>
        <w:ind w:firstLine="1440" w:end="0"/>
        <w:jc w:val="both"/>
        <w:rPr/>
      </w:pPr>
      <w:r>
        <w:rPr/>
        <w:t>“</w:t>
      </w:r>
      <w:r>
        <w:rPr>
          <w:u w:val="single"/>
        </w:rPr>
        <w:t>State Acts</w:t>
      </w:r>
      <w:r>
        <w:rPr/>
        <w:t>” is defined in Section 8.2.</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is defined in Section 5.2(e)(i).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6.1(a).</w:t>
      </w:r>
    </w:p>
    <w:p>
      <w:pPr>
        <w:pStyle w:val="Normal"/>
        <w:widowControl/>
        <w:jc w:val="both"/>
        <w:rPr/>
      </w:pPr>
      <w:r>
        <w:rPr/>
      </w:r>
    </w:p>
    <w:p>
      <w:pPr>
        <w:pStyle w:val="Normal"/>
        <w:widowControl/>
        <w:ind w:firstLine="1440" w:end="0"/>
        <w:jc w:val="both"/>
        <w:rPr/>
      </w:pPr>
      <w:r>
        <w:rPr/>
        <w:t>“</w:t>
      </w:r>
      <w:r>
        <w:rPr>
          <w:u w:val="single"/>
        </w:rPr>
        <w:t>Turbine Contract</w:t>
      </w:r>
      <w:r>
        <w:rPr/>
        <w:t xml:space="preserve">” is defined in Section 3.1.5.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t>“</w:t>
      </w:r>
      <w:r>
        <w:rPr>
          <w:u w:val="single"/>
        </w:rPr>
        <w:t>Withheld Taxes</w:t>
      </w:r>
      <w:r>
        <w:rPr/>
        <w:t>” is defined in Section 5.3(b).</w:t>
      </w:r>
    </w:p>
    <w:p>
      <w:pPr>
        <w:pStyle w:val="Normal"/>
        <w:widowControl/>
        <w:ind w:firstLine="1440" w:end="0"/>
        <w:jc w:val="both"/>
        <w:rPr/>
      </w:pPr>
      <w:r>
        <w:rPr/>
      </w:r>
    </w:p>
    <w:p>
      <w:pPr>
        <w:pStyle w:val="Heading3"/>
        <w:ind w:hanging="0" w:start="0"/>
        <w:rPr/>
      </w:pPr>
      <w:r>
        <w:rPr/>
        <w:t>ANNEX B</w:t>
      </w:r>
    </w:p>
    <w:p>
      <w:pPr>
        <w:pStyle w:val="Normal"/>
        <w:widowControl/>
        <w:jc w:val="center"/>
        <w:rPr/>
      </w:pPr>
      <w:r>
        <w:rPr/>
      </w:r>
    </w:p>
    <w:p>
      <w:pPr>
        <w:pStyle w:val="Normal"/>
        <w:widowControl/>
        <w:jc w:val="center"/>
        <w:rPr/>
      </w:pPr>
      <w:r>
        <w:rPr/>
      </w:r>
    </w:p>
    <w:p>
      <w:pPr>
        <w:pStyle w:val="Normal"/>
        <w:widowControl/>
        <w:jc w:val="center"/>
        <w:rPr>
          <w:b/>
        </w:rPr>
      </w:pPr>
      <w:r>
        <w:rPr>
          <w:b/>
        </w:rPr>
        <w:t>Provisions Applicable to Confidential Information</w:t>
      </w:r>
    </w:p>
    <w:p>
      <w:pPr>
        <w:pStyle w:val="Normal"/>
        <w:widowControl/>
        <w:jc w:val="center"/>
        <w:rPr/>
      </w:pPr>
      <w:r>
        <w:rPr/>
      </w:r>
    </w:p>
    <w:p>
      <w:pPr>
        <w:pStyle w:val="Normal"/>
        <w:widowControl/>
        <w:jc w:val="both"/>
        <w:rPr/>
      </w:pPr>
      <w:r>
        <w:rPr/>
      </w:r>
    </w:p>
    <w:p>
      <w:pPr>
        <w:pStyle w:val="Normal"/>
        <w:widowControl/>
        <w:jc w:val="both"/>
        <w:rPr/>
      </w:pPr>
      <w:r>
        <w:rPr/>
      </w:r>
    </w:p>
    <w:p>
      <w:pPr>
        <w:pStyle w:val="Heading3"/>
        <w:ind w:hanging="0" w:start="0"/>
        <w:rPr/>
      </w:pPr>
      <w:r>
        <w:rPr/>
        <w:t>Definitions</w:t>
      </w:r>
    </w:p>
    <w:p>
      <w:pPr>
        <w:pStyle w:val="Normal"/>
        <w:widowControl/>
        <w:jc w:val="both"/>
        <w:rPr/>
      </w:pPr>
      <w:r>
        <w:rPr/>
      </w:r>
    </w:p>
    <w:p>
      <w:pPr>
        <w:pStyle w:val="Normal"/>
        <w:widowControl/>
        <w:ind w:firstLine="720" w:end="0"/>
        <w:jc w:val="both"/>
        <w:rPr/>
      </w:pPr>
      <w:r>
        <w:rPr/>
        <w:t>1.1</w:t>
        <w:tab/>
        <w:t>As used herein “</w:t>
      </w:r>
      <w:r>
        <w:rPr>
          <w:u w:val="single"/>
        </w:rPr>
        <w:t>Confidential Information</w:t>
      </w:r>
      <w:r>
        <w:rPr/>
        <w:t>” shall mean ENA Confidential Information and/or Delta Confidential Information, as hereinafter defined.</w:t>
      </w:r>
    </w:p>
    <w:p>
      <w:pPr>
        <w:pStyle w:val="Normal"/>
        <w:widowControl/>
        <w:jc w:val="both"/>
        <w:rPr/>
      </w:pPr>
      <w:r>
        <w:rPr/>
      </w:r>
    </w:p>
    <w:p>
      <w:pPr>
        <w:pStyle w:val="Normal"/>
        <w:widowControl/>
        <w:ind w:firstLine="720" w:end="0"/>
        <w:jc w:val="both"/>
        <w:rPr/>
      </w:pPr>
      <w:r>
        <w:rPr/>
        <w:t>1.2</w:t>
        <w:tab/>
        <w:t>As used herein “</w:t>
      </w:r>
      <w:r>
        <w:rPr>
          <w:u w:val="single"/>
        </w:rPr>
        <w:t>ENA Confidential Information</w:t>
      </w:r>
      <w:r>
        <w:rPr/>
        <w:t>” shall mean any and all information, including trade secrets and know</w:t>
        <w:noBreakHyphen/>
        <w:t>how proprietary to ENA, that is disclosed to Delta by ENA in connection with the negotiation of this Agreement or the operation of the Company.</w:t>
      </w:r>
    </w:p>
    <w:p>
      <w:pPr>
        <w:pStyle w:val="Normal"/>
        <w:widowControl/>
        <w:jc w:val="both"/>
        <w:rPr/>
      </w:pPr>
      <w:r>
        <w:rPr/>
      </w:r>
    </w:p>
    <w:p>
      <w:pPr>
        <w:pStyle w:val="Normal"/>
        <w:widowControl/>
        <w:ind w:firstLine="720" w:end="0"/>
        <w:jc w:val="both"/>
        <w:rPr/>
      </w:pPr>
      <w:r>
        <w:rPr/>
        <w:t>1.3</w:t>
        <w:tab/>
        <w:t>As used herein “</w:t>
      </w:r>
      <w:r>
        <w:rPr>
          <w:u w:val="single"/>
        </w:rPr>
        <w:t>Delta Confidential Information</w:t>
      </w:r>
      <w:r>
        <w:rPr/>
        <w:t>” shall mean any and all information, including trade secrets and know</w:t>
        <w:noBreakHyphen/>
        <w:t>how proprietary to Delta, that is disclosed to ENA by Delta in connection with the negotiation of this Agreement or the operation of the Company.</w:t>
      </w:r>
    </w:p>
    <w:p>
      <w:pPr>
        <w:pStyle w:val="Normal"/>
        <w:widowControl/>
        <w:jc w:val="both"/>
        <w:rPr/>
      </w:pPr>
      <w:r>
        <w:rPr/>
      </w:r>
    </w:p>
    <w:p>
      <w:pPr>
        <w:pStyle w:val="Heading3"/>
        <w:ind w:hanging="0" w:start="0"/>
        <w:rPr/>
      </w:pPr>
      <w:r>
        <w:rPr/>
        <w:t>Disclosure Restrictions</w:t>
      </w:r>
    </w:p>
    <w:p>
      <w:pPr>
        <w:pStyle w:val="Normal"/>
        <w:widowControl/>
        <w:jc w:val="both"/>
        <w:rPr/>
      </w:pPr>
      <w:r>
        <w:rPr/>
      </w:r>
    </w:p>
    <w:p>
      <w:pPr>
        <w:pStyle w:val="Normal"/>
        <w:widowControl/>
        <w:ind w:firstLine="720" w:end="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jc w:val="both"/>
        <w:rPr/>
      </w:pPr>
      <w:r>
        <w:rPr/>
      </w:r>
    </w:p>
    <w:p>
      <w:pPr>
        <w:pStyle w:val="Normal"/>
        <w:widowControl/>
        <w:ind w:firstLine="720" w:end="0"/>
        <w:jc w:val="both"/>
        <w:rPr/>
      </w:pPr>
      <w:r>
        <w:rPr/>
        <w:t>2.2</w:t>
        <w:tab/>
        <w:t>The provisions of Section 2.1 above shall not apply to:</w:t>
      </w:r>
    </w:p>
    <w:p>
      <w:pPr>
        <w:pStyle w:val="Normal"/>
        <w:widowControl/>
        <w:jc w:val="both"/>
        <w:rPr/>
      </w:pPr>
      <w:r>
        <w:rPr/>
      </w:r>
    </w:p>
    <w:p>
      <w:pPr>
        <w:pStyle w:val="Normal"/>
        <w:widowControl/>
        <w:ind w:hanging="720" w:start="2160" w:end="0"/>
        <w:jc w:val="both"/>
        <w:rPr/>
      </w:pPr>
      <w:r>
        <w:rPr/>
        <w:t>(a)</w:t>
        <w:tab/>
        <w:t>Confidential Information that a Member can demonstrate was rightfully in that Member’s possession prior to the date of disclosure to that Member;</w:t>
      </w:r>
    </w:p>
    <w:p>
      <w:pPr>
        <w:pStyle w:val="Normal"/>
        <w:widowControl/>
        <w:jc w:val="both"/>
        <w:rPr/>
      </w:pPr>
      <w:r>
        <w:rPr/>
      </w:r>
    </w:p>
    <w:p>
      <w:pPr>
        <w:pStyle w:val="Normal"/>
        <w:widowControl/>
        <w:ind w:hanging="720" w:start="216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jc w:val="both"/>
        <w:rPr/>
      </w:pPr>
      <w:r>
        <w:rPr/>
      </w:r>
    </w:p>
    <w:p>
      <w:pPr>
        <w:pStyle w:val="Normal"/>
        <w:widowControl/>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jc w:val="both"/>
        <w:rPr/>
      </w:pPr>
      <w:r>
        <w:rPr/>
      </w:r>
    </w:p>
    <w:p>
      <w:pPr>
        <w:pStyle w:val="Normal"/>
        <w:widowControl/>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jc w:val="both"/>
        <w:rPr/>
      </w:pPr>
      <w:r>
        <w:rPr/>
      </w:r>
    </w:p>
    <w:p>
      <w:pPr>
        <w:pStyle w:val="Normal"/>
        <w:widowControl/>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jc w:val="both"/>
        <w:rPr/>
      </w:pPr>
      <w:r>
        <w:rPr/>
      </w:r>
    </w:p>
    <w:p>
      <w:pPr>
        <w:pStyle w:val="Normal"/>
        <w:widowControl/>
        <w:ind w:hanging="720" w:start="2160" w:end="0"/>
        <w:jc w:val="both"/>
        <w:rPr/>
      </w:pPr>
      <w:r>
        <w:rPr/>
        <w:t>(f)</w:t>
        <w:tab/>
        <w:t>Disclosures of Confidential Information by a Member to GE in connection with the Turbine Contract.</w:t>
      </w:r>
    </w:p>
    <w:p>
      <w:pPr>
        <w:pStyle w:val="Normal"/>
        <w:widowControl/>
        <w:jc w:val="both"/>
        <w:rPr/>
      </w:pPr>
      <w:r>
        <w:rPr/>
      </w:r>
    </w:p>
    <w:p>
      <w:pPr>
        <w:pStyle w:val="Normal"/>
        <w:widowControl/>
        <w:ind w:firstLine="720" w:end="0"/>
        <w:jc w:val="both"/>
        <w:rPr/>
      </w:pPr>
      <w:r>
        <w:rPr/>
        <w:t>2.3</w:t>
        <w:tab/>
        <w:t>Each Member shall take all necessary precautions to exclude unauthorized personnel and visitors from areas where Confidential Information is or may be available or observable.</w:t>
      </w:r>
    </w:p>
    <w:p>
      <w:pPr>
        <w:pStyle w:val="Normal"/>
        <w:widowControl/>
        <w:jc w:val="both"/>
        <w:rPr/>
      </w:pPr>
      <w:r>
        <w:rPr/>
      </w:r>
    </w:p>
    <w:p>
      <w:pPr>
        <w:pStyle w:val="Heading3"/>
        <w:ind w:hanging="0" w:start="0"/>
        <w:rPr/>
      </w:pPr>
      <w:r>
        <w:rPr/>
        <w:t>Return of Materials</w:t>
      </w:r>
    </w:p>
    <w:p>
      <w:pPr>
        <w:pStyle w:val="Normal"/>
        <w:widowControl/>
        <w:jc w:val="both"/>
        <w:rPr/>
      </w:pPr>
      <w:r>
        <w:rPr/>
      </w:r>
    </w:p>
    <w:p>
      <w:pPr>
        <w:pStyle w:val="Normal"/>
        <w:widowControl/>
        <w:ind w:firstLine="720" w:end="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jc w:val="both"/>
        <w:rPr/>
      </w:pPr>
      <w:r>
        <w:rPr/>
      </w:r>
    </w:p>
    <w:p>
      <w:pPr>
        <w:pStyle w:val="Heading3"/>
        <w:ind w:hanging="0" w:start="0"/>
        <w:rPr/>
      </w:pPr>
      <w:r>
        <w:rPr/>
        <w:t>Limitation</w:t>
      </w:r>
    </w:p>
    <w:p>
      <w:pPr>
        <w:pStyle w:val="Normal"/>
        <w:widowControl/>
        <w:jc w:val="both"/>
        <w:rPr/>
      </w:pPr>
      <w:r>
        <w:rPr/>
      </w:r>
    </w:p>
    <w:p>
      <w:pPr>
        <w:pStyle w:val="Normal"/>
        <w:widowControl/>
        <w:ind w:firstLine="720" w:end="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jc w:val="both"/>
        <w:rPr/>
      </w:pPr>
      <w:r>
        <w:rPr/>
      </w:r>
    </w:p>
    <w:p>
      <w:pPr>
        <w:pStyle w:val="Heading3"/>
        <w:ind w:hanging="0" w:start="0"/>
        <w:rPr/>
      </w:pPr>
      <w:r>
        <w:rPr/>
        <w:t>Term</w:t>
      </w:r>
    </w:p>
    <w:p>
      <w:pPr>
        <w:pStyle w:val="Normal"/>
        <w:widowControl/>
        <w:jc w:val="both"/>
        <w:rPr/>
      </w:pPr>
      <w:r>
        <w:rPr/>
      </w:r>
    </w:p>
    <w:p>
      <w:pPr>
        <w:pStyle w:val="Normal"/>
        <w:widowControl/>
        <w:ind w:firstLine="720" w:end="0"/>
        <w:jc w:val="both"/>
        <w:rPr/>
      </w:pPr>
      <w:r>
        <w:rPr/>
        <w:t>5.1</w:t>
        <w:tab/>
        <w:t>The term of these provisions shall run from the date hereof until two (2) years after the termination of the Company.</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7">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8">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2001-03-07T00:54:00Z</dcterms:created>
  <dc:creator>Carolyn Campbell</dc:creator>
  <dc:description>Houston-136643 v3</dc:description>
  <dc:language>en-CA</dc:language>
  <cp:lastModifiedBy>kmann</cp:lastModifiedBy>
  <cp:lastPrinted>2001-03-06T12:22:00Z</cp:lastPrinted>
  <dcterms:modified xsi:type="dcterms:W3CDTF">2001-03-07T12:46:00Z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