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NOTICE OF POSSIBLE PERMITTED DELIVERY POINTS</w:t>
      </w:r>
    </w:p>
    <w:p>
      <w:pPr>
        <w:pStyle w:val="Normal"/>
        <w:jc w:val="center"/>
        <w:rPr>
          <w:b/>
        </w:rPr>
      </w:pPr>
      <w:r>
        <w:rPr>
          <w:b/>
        </w:rPr>
      </w:r>
    </w:p>
    <w:p>
      <w:pPr>
        <w:pStyle w:val="Heading4"/>
        <w:ind w:hanging="0" w:start="0"/>
        <w:rPr/>
      </w:pPr>
      <w:r>
        <w:rPr/>
        <w:t>VIA FAX: _______________</w:t>
      </w:r>
    </w:p>
    <w:p>
      <w:pPr>
        <w:pStyle w:val="Normal"/>
        <w:rPr/>
      </w:pPr>
      <w:r>
        <w:rPr/>
        <w:t>Tennessee Valley Authority</w:t>
      </w:r>
    </w:p>
    <w:p>
      <w:pPr>
        <w:pStyle w:val="Normal"/>
        <w:rPr/>
      </w:pPr>
      <w:r>
        <w:rPr/>
        <w:t>1101 Market Street</w:t>
      </w:r>
    </w:p>
    <w:p>
      <w:pPr>
        <w:pStyle w:val="Normal"/>
        <w:rPr/>
      </w:pPr>
      <w:r>
        <w:rPr/>
        <w:t>Chattanooga, Tennessee 37402-2601</w:t>
      </w:r>
    </w:p>
    <w:p>
      <w:pPr>
        <w:pStyle w:val="Normal"/>
        <w:rPr/>
      </w:pPr>
      <w:r>
        <w:rPr/>
        <w:t>Attn:</w:t>
      </w:r>
      <w:r>
        <w:rPr>
          <w:b/>
        </w:rPr>
        <w:t xml:space="preserve">  </w:t>
      </w:r>
      <w:r>
        <w:rPr/>
        <w:t>Jeff Newsome</w:t>
      </w:r>
    </w:p>
    <w:p>
      <w:pPr>
        <w:pStyle w:val="Normal"/>
        <w:rPr>
          <w:b/>
          <w:sz w:val="20"/>
          <w:u w:val="single"/>
        </w:rPr>
      </w:pPr>
      <w:r>
        <w:rPr>
          <w:b/>
          <w:sz w:val="20"/>
          <w:u w:val="single"/>
        </w:rPr>
      </w:r>
    </w:p>
    <w:p>
      <w:pPr>
        <w:pStyle w:val="Normal"/>
        <w:ind w:start="720" w:end="0"/>
        <w:rPr/>
      </w:pPr>
      <w:r>
        <w:rPr>
          <w:b/>
          <w:sz w:val="20"/>
        </w:rPr>
        <w:t>RE:</w:t>
        <w:tab/>
      </w:r>
      <w:r>
        <w:rPr>
          <w:i/>
          <w:sz w:val="20"/>
        </w:rPr>
        <w:t>Master Option Purchase Agreement dated December 6, 1995, with Tennessee Valley Authority</w:t>
      </w:r>
    </w:p>
    <w:p>
      <w:pPr>
        <w:pStyle w:val="Normal"/>
        <w:rPr>
          <w:i/>
          <w:i/>
          <w:sz w:val="20"/>
        </w:rPr>
      </w:pPr>
      <w:r>
        <w:rPr>
          <w:i/>
          <w:sz w:val="20"/>
        </w:rPr>
      </w:r>
    </w:p>
    <w:p>
      <w:pPr>
        <w:pStyle w:val="Normal"/>
        <w:rPr/>
      </w:pPr>
      <w:r>
        <w:rPr/>
        <w:t>Ladies and Gentlemen:</w:t>
      </w:r>
    </w:p>
    <w:p>
      <w:pPr>
        <w:pStyle w:val="Normal"/>
        <w:rPr/>
      </w:pPr>
      <w:r>
        <w:rPr/>
      </w:r>
    </w:p>
    <w:p>
      <w:pPr>
        <w:pStyle w:val="BodyText2"/>
        <w:rPr/>
      </w:pPr>
      <w:r>
        <w:rPr/>
        <w:tab/>
        <w:t xml:space="preserve">We refer you to the Agreement described above, with capitalized terms used in this notice having the meanings given them in that Agreement.  In accordance with Section 4.1(b) of the Agreement, the following are Permitted Delivery Points that Seller currently might expect to designate as the interfaces at which deliveries of energy scheduled during the week of _________________  would be made and the expected quantities at those Permitted Delivery Points.  </w:t>
      </w:r>
    </w:p>
    <w:p>
      <w:pPr>
        <w:pStyle w:val="Normal"/>
        <w:rPr/>
      </w:pPr>
      <w:r>
        <w:rPr/>
      </w:r>
    </w:p>
    <w:tbl>
      <w:tblPr>
        <w:tblW w:w="9405" w:type="dxa"/>
        <w:jc w:val="start"/>
        <w:tblInd w:w="153" w:type="dxa"/>
        <w:tblLayout w:type="fixed"/>
        <w:tblCellMar>
          <w:top w:w="0" w:type="dxa"/>
          <w:start w:w="108" w:type="dxa"/>
          <w:bottom w:w="0" w:type="dxa"/>
          <w:end w:w="108" w:type="dxa"/>
        </w:tblCellMar>
      </w:tblPr>
      <w:tblGrid>
        <w:gridCol w:w="7155"/>
        <w:gridCol w:w="2250"/>
      </w:tblGrid>
      <w:tr>
        <w:trPr>
          <w:trHeight w:val="213" w:hRule="atLeast"/>
        </w:trPr>
        <w:tc>
          <w:tcPr>
            <w:tcW w:w="7155" w:type="dxa"/>
            <w:tcBorders>
              <w:top w:val="single" w:sz="12" w:space="0" w:color="000000"/>
              <w:start w:val="single" w:sz="12" w:space="0" w:color="000000"/>
              <w:bottom w:val="single" w:sz="12" w:space="0" w:color="000000"/>
              <w:end w:val="single" w:sz="12" w:space="0" w:color="000000"/>
            </w:tcBorders>
          </w:tcPr>
          <w:p>
            <w:pPr>
              <w:pStyle w:val="Heading2"/>
              <w:snapToGrid w:val="false"/>
              <w:ind w:hanging="0" w:start="0"/>
              <w:jc w:val="start"/>
              <w:rPr>
                <w:sz w:val="22"/>
              </w:rPr>
            </w:pPr>
            <w:r>
              <w:rPr>
                <w:sz w:val="22"/>
              </w:rPr>
            </w:r>
          </w:p>
          <w:p>
            <w:pPr>
              <w:pStyle w:val="Heading2"/>
              <w:ind w:hanging="0" w:start="0"/>
              <w:jc w:val="start"/>
              <w:rPr>
                <w:sz w:val="22"/>
              </w:rPr>
            </w:pPr>
            <w:r>
              <w:rPr>
                <w:sz w:val="22"/>
              </w:rPr>
              <w:t>Possible Permited Delivery Point(s) *</w:t>
            </w:r>
          </w:p>
        </w:tc>
        <w:tc>
          <w:tcPr>
            <w:tcW w:w="2250" w:type="dxa"/>
            <w:tcBorders>
              <w:top w:val="single" w:sz="12" w:space="0" w:color="000000"/>
              <w:start w:val="single" w:sz="12" w:space="0" w:color="000000"/>
              <w:bottom w:val="single" w:sz="12" w:space="0" w:color="000000"/>
              <w:end w:val="single" w:sz="12" w:space="0" w:color="000000"/>
            </w:tcBorders>
          </w:tcPr>
          <w:p>
            <w:pPr>
              <w:pStyle w:val="Heading2"/>
              <w:ind w:hanging="0" w:start="0"/>
              <w:rPr>
                <w:sz w:val="22"/>
              </w:rPr>
            </w:pPr>
            <w:r>
              <w:rPr>
                <w:sz w:val="22"/>
              </w:rPr>
              <w:t>Possible Expected Quantity *</w:t>
            </w:r>
          </w:p>
        </w:tc>
      </w:tr>
      <w:tr>
        <w:trPr>
          <w:trHeight w:val="195" w:hRule="atLeast"/>
        </w:trPr>
        <w:tc>
          <w:tcPr>
            <w:tcW w:w="7155" w:type="dxa"/>
            <w:tcBorders>
              <w:top w:val="single" w:sz="12" w:space="0" w:color="000000"/>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top w:val="single" w:sz="12" w:space="0" w:color="000000"/>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AEP (AEP)</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Big Rivers Electric (BREC)</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East Kentucky Power (EKPC)</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Louisville/KU (LGEE)</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Union/CIPS and Illinois Power (AMRN/IP)</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Electric Energy, Inc. (EEI)</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Associated Electric Coop (AEII)</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Entergy Corp.  and op.Subs. (EES)</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Enron Control Area (ENSE)</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Pleasanthill Switchyard (TVA/Pleasanthill)</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Lowndes Substation (TVA/Lowndes)</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New Albany</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Southern Company and op subs. (SOCO)</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Carolina Power &amp; Light (CPL)</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end w:val="single" w:sz="12" w:space="0" w:color="000000"/>
            </w:tcBorders>
            <w:shd w:fill="C0C0C0" w:val="clear"/>
          </w:tcPr>
          <w:p>
            <w:pPr>
              <w:pStyle w:val="Normal"/>
              <w:snapToGrid w:val="false"/>
              <w:rPr/>
            </w:pPr>
            <w:r>
              <w:rPr/>
            </w:r>
          </w:p>
        </w:tc>
      </w:tr>
      <w:tr>
        <w:trPr>
          <w:trHeight w:val="195" w:hRule="atLeast"/>
        </w:trPr>
        <w:tc>
          <w:tcPr>
            <w:tcW w:w="7155" w:type="dxa"/>
            <w:tcBorders>
              <w:start w:val="single" w:sz="12" w:space="0" w:color="000000"/>
              <w:end w:val="single" w:sz="12" w:space="0" w:color="000000"/>
            </w:tcBorders>
          </w:tcPr>
          <w:p>
            <w:pPr>
              <w:pStyle w:val="Normal"/>
              <w:rPr/>
            </w:pPr>
            <w:r>
              <w:rPr/>
              <w:t>Nantahala Power (DUK)</w:t>
            </w:r>
          </w:p>
        </w:tc>
        <w:tc>
          <w:tcPr>
            <w:tcW w:w="2250" w:type="dxa"/>
            <w:tcBorders>
              <w:start w:val="single" w:sz="12" w:space="0" w:color="000000"/>
              <w:end w:val="single" w:sz="12" w:space="0" w:color="000000"/>
            </w:tcBorders>
          </w:tcPr>
          <w:p>
            <w:pPr>
              <w:pStyle w:val="Normal"/>
              <w:snapToGrid w:val="false"/>
              <w:rPr/>
            </w:pPr>
            <w:r>
              <w:rPr/>
            </w:r>
          </w:p>
        </w:tc>
      </w:tr>
      <w:tr>
        <w:trPr>
          <w:trHeight w:val="195" w:hRule="atLeast"/>
        </w:trPr>
        <w:tc>
          <w:tcPr>
            <w:tcW w:w="7155" w:type="dxa"/>
            <w:tcBorders>
              <w:start w:val="single" w:sz="12" w:space="0" w:color="000000"/>
              <w:bottom w:val="single" w:sz="12" w:space="0" w:color="000000"/>
              <w:end w:val="single" w:sz="12" w:space="0" w:color="000000"/>
            </w:tcBorders>
            <w:shd w:fill="C0C0C0" w:val="clear"/>
          </w:tcPr>
          <w:p>
            <w:pPr>
              <w:pStyle w:val="Normal"/>
              <w:snapToGrid w:val="false"/>
              <w:rPr>
                <w:sz w:val="16"/>
              </w:rPr>
            </w:pPr>
            <w:r>
              <w:rPr>
                <w:sz w:val="16"/>
              </w:rPr>
            </w:r>
          </w:p>
        </w:tc>
        <w:tc>
          <w:tcPr>
            <w:tcW w:w="2250" w:type="dxa"/>
            <w:tcBorders>
              <w:start w:val="single" w:sz="12" w:space="0" w:color="000000"/>
              <w:bottom w:val="single" w:sz="12" w:space="0" w:color="000000"/>
              <w:end w:val="single" w:sz="12" w:space="0" w:color="000000"/>
            </w:tcBorders>
            <w:shd w:fill="C0C0C0" w:val="clear"/>
          </w:tcPr>
          <w:p>
            <w:pPr>
              <w:pStyle w:val="Normal"/>
              <w:snapToGrid w:val="false"/>
              <w:rPr/>
            </w:pPr>
            <w:r>
              <w:rPr/>
            </w:r>
          </w:p>
        </w:tc>
      </w:tr>
    </w:tbl>
    <w:p>
      <w:pPr>
        <w:pStyle w:val="BodyText"/>
        <w:rPr/>
      </w:pPr>
      <w:r>
        <w:rPr/>
        <w:t>*The table sets forth only possible Permitted Delivery Point(s) and associated Quantities; actual Scheduled Delivery Points and Quantities will be confirmed in accordance with Section 4.1(c) of the Agreement.</w:t>
      </w:r>
    </w:p>
    <w:p>
      <w:pPr>
        <w:pStyle w:val="Normal"/>
        <w:ind w:firstLine="720" w:end="0"/>
        <w:rPr>
          <w:i/>
          <w:i/>
        </w:rPr>
      </w:pPr>
      <w:r>
        <w:rPr>
          <w:i/>
        </w:rPr>
      </w:r>
    </w:p>
    <w:p>
      <w:pPr>
        <w:pStyle w:val="Normal"/>
        <w:rPr>
          <w:i/>
          <w:i/>
        </w:rPr>
      </w:pPr>
      <w:r>
        <w:rPr>
          <w:i/>
        </w:rPr>
      </w:r>
    </w:p>
    <w:p>
      <w:pPr>
        <w:pStyle w:val="Normal"/>
        <w:rPr/>
      </w:pPr>
      <w:r>
        <w:rPr/>
        <w:tab/>
        <w:tab/>
        <w:tab/>
        <w:tab/>
        <w:tab/>
        <w:tab/>
        <w:tab/>
        <w:t>ENRON POWER MARKETING, INC.</w:t>
      </w:r>
    </w:p>
    <w:p>
      <w:pPr>
        <w:pStyle w:val="Normal"/>
        <w:rPr/>
      </w:pPr>
      <w:r>
        <w:rPr/>
      </w:r>
    </w:p>
    <w:p>
      <w:pPr>
        <w:pStyle w:val="Normal"/>
        <w:rPr/>
      </w:pPr>
      <w:r>
        <w:rPr/>
        <w:tab/>
        <w:tab/>
        <w:tab/>
        <w:tab/>
        <w:tab/>
        <w:tab/>
        <w:tab/>
        <w:t>By:_____________________________</w:t>
      </w:r>
    </w:p>
    <w:p>
      <w:pPr>
        <w:pStyle w:val="Normal"/>
        <w:rPr/>
      </w:pPr>
      <w:r>
        <w:rPr>
          <w:sz w:val="16"/>
        </w:rPr>
        <w:t>O:\</w:t>
      </w:r>
      <w:r>
        <w:rPr>
          <w:i/>
          <w:sz w:val="16"/>
        </w:rPr>
        <w:t>Legal\esager\Agreement\Delivery Point.doc</w:t>
      </w:r>
    </w:p>
    <w:sectPr>
      <w:type w:val="nextPage"/>
      <w:pgSz w:w="12240" w:h="15840"/>
      <w:pgMar w:left="1440" w:right="1440" w:gutter="0" w:header="0" w:top="720" w:footer="0" w:bottom="3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center"/>
      <w:outlineLvl w:val="1"/>
    </w:pPr>
    <w:rPr>
      <w:b/>
      <w:sz w:val="16"/>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z w:val="20"/>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1999-06-17T12:15:00Z</dcterms:created>
  <dc:creator>protmp3</dc:creator>
  <dc:description/>
  <dc:language>en-CA</dc:language>
  <cp:lastModifiedBy>protmp3</cp:lastModifiedBy>
  <cp:lastPrinted>1999-06-17T13:03:00Z</cp:lastPrinted>
  <dcterms:modified xsi:type="dcterms:W3CDTF">1999-06-17T16:14:00Z</dcterms:modified>
  <cp:revision>3</cp:revision>
  <dc:subject/>
  <dc:title>NOTICE OF POSSIBLE PERMITTED DELIVERY POINT</dc:title>
</cp:coreProperties>
</file>