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rPr>
      </w:pPr>
      <w:r>
        <w:rPr>
          <w:sz w:val="16"/>
        </w:rPr>
      </w:r>
    </w:p>
    <w:p>
      <w:pPr>
        <w:pStyle w:val="Normal"/>
        <w:rPr>
          <w:sz w:val="16"/>
        </w:rPr>
      </w:pPr>
      <w:r>
        <w:rPr>
          <w:sz w:val="16"/>
        </w:rPr>
      </w:r>
    </w:p>
    <w:p>
      <w:pPr>
        <w:pStyle w:val="Caption"/>
        <w:rPr>
          <w:sz w:val="32"/>
        </w:rPr>
      </w:pPr>
      <w:r>
        <w:rPr>
          <w:sz w:val="32"/>
        </w:rPr>
        <w:t>Memo</w:t>
      </w:r>
      <w:r>
        <mc:AlternateContent>
          <mc:Choice Requires="wps">
            <w:drawing>
              <wp:anchor behindDoc="0" distT="0" distB="0" distL="0" distR="0" simplePos="0" locked="0" layoutInCell="0" allowOverlap="1" relativeHeight="2">
                <wp:simplePos x="0" y="0"/>
                <wp:positionH relativeFrom="page">
                  <wp:posOffset>4590415</wp:posOffset>
                </wp:positionH>
                <wp:positionV relativeFrom="page">
                  <wp:posOffset>686435</wp:posOffset>
                </wp:positionV>
                <wp:extent cx="2503170" cy="698500"/>
                <wp:effectExtent l="0" t="0" r="0" b="0"/>
                <wp:wrapTopAndBottom/>
                <wp:docPr id="1" name="Frame1"/>
                <a:graphic xmlns:a="http://schemas.openxmlformats.org/drawingml/2006/main">
                  <a:graphicData uri="http://schemas.microsoft.com/office/word/2010/wordprocessingShape">
                    <wps:wsp>
                      <wps:cNvSpPr txBox="1"/>
                      <wps:spPr>
                        <a:xfrm>
                          <a:off x="0" y="0"/>
                          <a:ext cx="2503170" cy="698500"/>
                        </a:xfrm>
                        <a:prstGeom prst="rect"/>
                        <a:solidFill>
                          <a:srgbClr val="FFFFFF">
                            <a:alpha val="0"/>
                          </a:srgbClr>
                        </a:solidFill>
                        <a:ln w="9525">
                          <a:solidFill>
                            <a:srgbClr val="000000"/>
                          </a:solidFill>
                        </a:ln>
                      </wps:spPr>
                      <wps:txbx>
                        <w:txbxContent>
                          <w:p>
                            <w:pPr>
                              <w:pStyle w:val="CompanyName"/>
                              <w:rPr/>
                            </w:pPr>
                            <w:r>
                              <w:rPr/>
                              <w:t>ENRON CORP.</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1pt;height:55pt;mso-wrap-distance-left:0pt;mso-wrap-distance-right:0pt;mso-wrap-distance-top:0pt;mso-wrap-distance-bottom:0pt;margin-top:54.05pt;mso-position-vertical-relative:page;margin-left:361.45pt;mso-position-horizontal-relative:page">
                <v:fill opacity="0f"/>
                <v:textbox inset="0.125in,0.125in,0.125in,0.125in">
                  <w:txbxContent>
                    <w:p>
                      <w:pPr>
                        <w:pStyle w:val="CompanyName"/>
                        <w:rPr/>
                      </w:pPr>
                      <w:r>
                        <w:rPr/>
                        <w:t>ENRON CORP.</w:t>
                      </w:r>
                    </w:p>
                  </w:txbxContent>
                </v:textbox>
                <w10:wrap type="topAndBottom"/>
              </v:rect>
            </w:pict>
          </mc:Fallback>
        </mc:AlternateContent>
      </w:r>
    </w:p>
    <w:p>
      <w:pPr>
        <w:pStyle w:val="Normal"/>
        <w:rPr>
          <w:sz w:val="32"/>
        </w:rPr>
      </w:pPr>
      <w:r>
        <w:rPr>
          <w:sz w:val="32"/>
        </w:rPr>
      </w:r>
    </w:p>
    <w:p>
      <w:pPr>
        <w:pStyle w:val="Normal"/>
        <w:rPr/>
      </w:pPr>
      <w:r>
        <w:rPr>
          <w:sz w:val="20"/>
        </w:rPr>
        <w:t>To:</w:t>
        <w:tab/>
        <w:tab/>
        <w:t>Dave Delainey</w:t>
        <w:tab/>
        <w:tab/>
        <w:tab/>
        <w:tab/>
        <w:tab/>
      </w:r>
      <w:r>
        <w:rPr>
          <w:b/>
          <w:bCs/>
        </w:rPr>
        <w:t>-- CONFIDENTIAL --</w:t>
      </w:r>
    </w:p>
    <w:p>
      <w:pPr>
        <w:pStyle w:val="Normal"/>
        <w:rPr>
          <w:sz w:val="20"/>
        </w:rPr>
      </w:pPr>
      <w:r>
        <w:rPr>
          <w:sz w:val="20"/>
        </w:rPr>
        <w:tab/>
      </w:r>
    </w:p>
    <w:p>
      <w:pPr>
        <w:pStyle w:val="Normal"/>
        <w:rPr>
          <w:sz w:val="20"/>
        </w:rPr>
      </w:pPr>
      <w:r>
        <w:rPr>
          <w:sz w:val="20"/>
        </w:rPr>
        <w:t>CC:</w:t>
        <w:tab/>
        <w:tab/>
        <w:t>Jeff Ader</w:t>
      </w:r>
    </w:p>
    <w:p>
      <w:pPr>
        <w:pStyle w:val="Normal"/>
        <w:rPr>
          <w:sz w:val="20"/>
        </w:rPr>
      </w:pPr>
      <w:r>
        <w:rPr>
          <w:sz w:val="20"/>
        </w:rPr>
      </w:r>
    </w:p>
    <w:p>
      <w:pPr>
        <w:pStyle w:val="Normal"/>
        <w:rPr>
          <w:sz w:val="20"/>
        </w:rPr>
      </w:pPr>
      <w:r>
        <w:rPr>
          <w:sz w:val="20"/>
        </w:rPr>
        <w:t>From:</w:t>
        <w:tab/>
        <w:tab/>
        <w:t>Richard Shapiro, Dan Allegretti , Sue Landwehr &amp; Jennifer Thome</w:t>
      </w:r>
    </w:p>
    <w:p>
      <w:pPr>
        <w:pStyle w:val="Normal"/>
        <w:rPr>
          <w:sz w:val="20"/>
        </w:rPr>
      </w:pPr>
      <w:r>
        <w:rPr>
          <w:sz w:val="20"/>
        </w:rPr>
      </w:r>
    </w:p>
    <w:p>
      <w:pPr>
        <w:pStyle w:val="Normal"/>
        <w:rPr>
          <w:sz w:val="20"/>
        </w:rPr>
      </w:pPr>
      <w:r>
        <w:rPr>
          <w:sz w:val="20"/>
        </w:rPr>
        <w:t xml:space="preserve">Subject:    </w:t>
        <w:tab/>
        <w:t>Opportunities for EES</w:t>
      </w:r>
    </w:p>
    <w:p>
      <w:pPr>
        <w:pStyle w:val="Normal"/>
        <w:pBdr>
          <w:bottom w:val="single" w:sz="6" w:space="1" w:color="000000"/>
        </w:pBdr>
        <w:rPr>
          <w:sz w:val="20"/>
        </w:rPr>
      </w:pPr>
      <w:r>
        <w:rPr>
          <w:sz w:val="20"/>
        </w:rPr>
      </w:r>
    </w:p>
    <w:p>
      <w:pPr>
        <w:pStyle w:val="Body"/>
        <w:ind w:start="0" w:end="0"/>
        <w:rPr>
          <w:rFonts w:ascii="Times New Roman" w:hAnsi="Times New Roman" w:cs="Times New Roman"/>
          <w:color w:val="000000"/>
          <w:sz w:val="20"/>
        </w:rPr>
      </w:pPr>
      <w:r>
        <w:rPr>
          <w:rFonts w:cs="Times New Roman" w:ascii="Times New Roman" w:hAnsi="Times New Roman"/>
          <w:color w:val="000000"/>
          <w:sz w:val="20"/>
        </w:rPr>
      </w:r>
    </w:p>
    <w:p>
      <w:pPr>
        <w:pStyle w:val="Body"/>
        <w:ind w:start="0" w:end="0"/>
        <w:rPr>
          <w:rFonts w:ascii="Times New Roman" w:hAnsi="Times New Roman" w:cs="Times New Roman"/>
          <w:color w:val="000000"/>
        </w:rPr>
      </w:pPr>
      <w:r>
        <w:rPr>
          <w:rFonts w:cs="Times New Roman" w:ascii="Times New Roman" w:hAnsi="Times New Roman"/>
          <w:color w:val="000000"/>
        </w:rPr>
        <w:t>Based upon discussion with you we understand that EES is looking to expand its growth opportunities by acquiring large blocks of retail customers in open access jurisdictions and by opening new sales channels through specific regulated companies and municipal utilities in jurisdictions that are not fully open.  Our consistent national message is and has been that non-regulated companies like Enron can provide better, more innovative products and services for customers than the monopoly utility.  Our global risk management and hedging tools can better protect customers than regulated utilities managing their own portfolios and passing through the costs. EES must, however, be able to get past the utility to the customer in order to deliver value whether the jurisdiction in question has adopted a broad open access policy or not.  Indeed, while the California crisis may have slowed the appetite of policymakers for full open access it may also have increased the desire of utilities to effectively get out of the merchant function with or without full direct access. Enron’s opportunities, therefore, may be anywhere along a spectrum from complete direct access to basic wholesale risk management.</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Specifically, you have asked Government Affairs to assist EES in identifying concrete commercial opportunities where EES can reach a large customer base through direct access, such as a standard offer or default aggregation, or through virtual direct access, such as a co-branding or asset management/outsourcing arrangements.  Working with Jeff Ader and a host of field experts within Government Affairs we have prepared the following report.  The information is by no means exhaustive but represents a first pass to identify and describe a range of potential commercial opportunities.   </w:t>
      </w:r>
    </w:p>
    <w:p>
      <w:pPr>
        <w:pStyle w:val="Normal"/>
        <w:rPr>
          <w:rFonts w:ascii="Times New Roman" w:hAnsi="Times New Roman" w:cs="Times New Roman"/>
          <w:color w:val="000000"/>
          <w:sz w:val="20"/>
        </w:rPr>
      </w:pPr>
      <w:r>
        <w:rPr>
          <w:rFonts w:cs="Times New Roman"/>
          <w:color w:val="000000"/>
          <w:sz w:val="20"/>
        </w:rPr>
      </w:r>
    </w:p>
    <w:p>
      <w:pPr>
        <w:pStyle w:val="Normal"/>
        <w:rPr>
          <w:sz w:val="20"/>
        </w:rPr>
      </w:pPr>
      <w:r>
        <w:rPr>
          <w:sz w:val="20"/>
        </w:rPr>
        <w:t>Broadly, the opportunities examined fall into four categories:</w:t>
      </w:r>
    </w:p>
    <w:p>
      <w:pPr>
        <w:pStyle w:val="Normal"/>
        <w:rPr>
          <w:sz w:val="20"/>
        </w:rPr>
      </w:pPr>
      <w:r>
        <w:rPr>
          <w:sz w:val="20"/>
        </w:rPr>
      </w:r>
    </w:p>
    <w:p>
      <w:pPr>
        <w:pStyle w:val="Normal"/>
        <w:ind w:firstLine="180" w:end="0"/>
        <w:rPr>
          <w:sz w:val="20"/>
        </w:rPr>
      </w:pPr>
      <w:r>
        <w:rPr>
          <w:sz w:val="20"/>
        </w:rPr>
        <w:t xml:space="preserve">•  </w:t>
      </w:r>
      <w:r>
        <w:rPr>
          <w:sz w:val="20"/>
        </w:rPr>
        <w:t>standard offer/ default service as a retail or quasi-retail service;</w:t>
      </w:r>
    </w:p>
    <w:p>
      <w:pPr>
        <w:pStyle w:val="Normal"/>
        <w:rPr>
          <w:sz w:val="20"/>
        </w:rPr>
      </w:pPr>
      <w:r>
        <w:rPr>
          <w:sz w:val="20"/>
        </w:rPr>
      </w:r>
    </w:p>
    <w:p>
      <w:pPr>
        <w:pStyle w:val="BodyTextIndent"/>
        <w:ind w:start="180" w:end="0"/>
        <w:rPr/>
      </w:pPr>
      <w:r>
        <w:rPr/>
        <w:t xml:space="preserve">• </w:t>
      </w:r>
      <w:r>
        <w:rPr/>
        <w:t>opportunities to sleeve EES products to customers through a regulated utility or municipal electric company creating virtual direct access</w:t>
      </w:r>
    </w:p>
    <w:p>
      <w:pPr>
        <w:pStyle w:val="Normal"/>
        <w:rPr>
          <w:sz w:val="20"/>
        </w:rPr>
      </w:pPr>
      <w:r>
        <w:rPr>
          <w:sz w:val="20"/>
        </w:rPr>
      </w:r>
    </w:p>
    <w:p>
      <w:pPr>
        <w:pStyle w:val="BodyTextIndent"/>
        <w:ind w:start="180" w:end="0"/>
        <w:rPr/>
      </w:pPr>
      <w:r>
        <w:rPr/>
        <w:t xml:space="preserve">•  </w:t>
      </w:r>
      <w:r>
        <w:rPr/>
        <w:t>municipal aggregation “opt-out” programs where customers within a city default to a chosen supplier unless they elect otherwise;  and</w:t>
      </w:r>
    </w:p>
    <w:p>
      <w:pPr>
        <w:pStyle w:val="Normal"/>
        <w:rPr>
          <w:sz w:val="20"/>
        </w:rPr>
      </w:pPr>
      <w:r>
        <w:rPr>
          <w:sz w:val="20"/>
        </w:rPr>
      </w:r>
    </w:p>
    <w:p>
      <w:pPr>
        <w:pStyle w:val="BodyTextIndent"/>
        <w:ind w:start="180" w:end="0"/>
        <w:rPr/>
      </w:pPr>
      <w:r>
        <w:rPr/>
        <w:t xml:space="preserve">•  </w:t>
      </w:r>
      <w:r>
        <w:rPr/>
        <w:t>opportunities to create a positive wholesale commodity position through implementation of retail demand measures, such as TVA member cooperatives and municipalities selling reduced consumption back to TVA.</w:t>
      </w:r>
    </w:p>
    <w:p>
      <w:pPr>
        <w:pStyle w:val="BodyTextIndent"/>
        <w:rPr/>
      </w:pPr>
      <w:r>
        <w:rPr/>
      </w:r>
    </w:p>
    <w:p>
      <w:pPr>
        <w:pStyle w:val="BodyTextIndent"/>
        <w:ind w:start="0" w:end="0"/>
        <w:rPr/>
      </w:pPr>
      <w:r>
        <w:rPr/>
        <w:t>Information is in some cases more developed than in others.  After we receive initial feedback from you and Jeff Ader we will take the next step and facilitate contact with potential counterparties, lawmakers and regulators in the relevant jurisdiction to determine the level of interest and viability of each selected opportunity.  In parallel we will also continue the effort to expand the list of opportunities.  As we gather additional information we will feed this information to Jeff and his team.</w:t>
      </w:r>
    </w:p>
    <w:p>
      <w:pPr>
        <w:pStyle w:val="BodyTextIndent"/>
        <w:ind w:start="0" w:end="0"/>
        <w:rPr/>
      </w:pPr>
      <w:r>
        <w:rPr/>
      </w:r>
    </w:p>
    <w:p>
      <w:pPr>
        <w:pStyle w:val="BodyTextIndent"/>
        <w:ind w:start="0" w:end="0"/>
        <w:rPr/>
      </w:pPr>
      <w:r>
        <w:rPr/>
        <w:t xml:space="preserve">Our report is divided into four geographic regions.  Most of the opportunities in the northeast and in ERCOT arise from the proliferation of retail access in those regions.  Opportunities in the Midwest and the West arise out of events in California and the change in view of utilities about the desirability of retaining their merchant functions in light of the California situation.  </w:t>
      </w:r>
    </w:p>
    <w:p>
      <w:pPr>
        <w:pStyle w:val="BodyTextIndent"/>
        <w:ind w:start="0" w:end="0"/>
        <w:rPr/>
      </w:pPr>
      <w:r>
        <w:rPr/>
      </w:r>
    </w:p>
    <w:p>
      <w:pPr>
        <w:pStyle w:val="BodyTextIndent"/>
        <w:ind w:start="0" w:end="0"/>
        <w:rPr/>
      </w:pPr>
      <w:r>
        <w:rPr/>
        <w:t>The report also includes a map of the opportunities described as well as contact information for the individuals within Government Affairs who are responsible for the jurisdiction in which the opportunity lies.</w:t>
      </w:r>
    </w:p>
    <w:p>
      <w:pPr>
        <w:pStyle w:val="Normal"/>
        <w:rPr>
          <w:sz w:val="20"/>
        </w:rPr>
      </w:pPr>
      <w:r>
        <w:rPr>
          <w:sz w:val="20"/>
        </w:rPr>
      </w:r>
      <w:r>
        <w:br w:type="page"/>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jc w:val="center"/>
        <w:rPr>
          <w:b/>
          <w:bCs/>
          <w:sz w:val="28"/>
          <w:u w:val="single"/>
        </w:rPr>
      </w:pPr>
      <w:r>
        <w:rPr>
          <w:b/>
          <w:bCs/>
          <w:sz w:val="28"/>
          <w:u w:val="single"/>
        </w:rPr>
        <w:t>ATLANTIC SEABOARD</w:t>
      </w:r>
    </w:p>
    <w:p>
      <w:pPr>
        <w:pStyle w:val="Normal"/>
        <w:jc w:val="center"/>
        <w:rPr>
          <w:b/>
          <w:bCs/>
          <w:sz w:val="20"/>
          <w:u w:val="single"/>
        </w:rPr>
      </w:pPr>
      <w:r>
        <w:rPr>
          <w:b/>
          <w:bCs/>
          <w:sz w:val="20"/>
          <w:u w:val="single"/>
        </w:rPr>
      </w:r>
    </w:p>
    <w:p>
      <w:pPr>
        <w:pStyle w:val="Normal"/>
        <w:jc w:val="center"/>
        <w:rPr>
          <w:sz w:val="20"/>
        </w:rPr>
      </w:pPr>
      <w:r>
        <w:rPr>
          <w:sz w:val="20"/>
        </w:rPr>
      </w:r>
    </w:p>
    <w:p>
      <w:pPr>
        <w:pStyle w:val="Normal"/>
        <w:jc w:val="center"/>
        <w:rPr>
          <w:sz w:val="20"/>
        </w:rPr>
      </w:pPr>
      <w:r>
        <w:rPr>
          <w:sz w:val="20"/>
        </w:rPr>
      </w:r>
    </w:p>
    <w:p>
      <w:pPr>
        <w:pStyle w:val="Normal"/>
        <w:numPr>
          <w:ilvl w:val="0"/>
          <w:numId w:val="6"/>
        </w:numPr>
        <w:rPr>
          <w:sz w:val="20"/>
        </w:rPr>
      </w:pPr>
      <w:r>
        <w:rPr>
          <w:sz w:val="20"/>
        </w:rPr>
        <w:t>Massachusetts</w:t>
      </w:r>
    </w:p>
    <w:p>
      <w:pPr>
        <w:pStyle w:val="Normal"/>
        <w:numPr>
          <w:ilvl w:val="0"/>
          <w:numId w:val="2"/>
        </w:numPr>
        <w:rPr>
          <w:sz w:val="20"/>
        </w:rPr>
      </w:pPr>
      <w:r>
        <w:rPr>
          <w:sz w:val="20"/>
        </w:rPr>
        <w:t>National Grid</w:t>
      </w:r>
    </w:p>
    <w:p>
      <w:pPr>
        <w:pStyle w:val="Normal"/>
        <w:numPr>
          <w:ilvl w:val="0"/>
          <w:numId w:val="2"/>
        </w:numPr>
        <w:rPr>
          <w:sz w:val="20"/>
        </w:rPr>
      </w:pPr>
      <w:r>
        <w:rPr>
          <w:sz w:val="20"/>
        </w:rPr>
        <w:t>Municipal Aggregation</w:t>
      </w:r>
    </w:p>
    <w:p>
      <w:pPr>
        <w:pStyle w:val="Normal"/>
        <w:rPr>
          <w:sz w:val="20"/>
        </w:rPr>
      </w:pPr>
      <w:r>
        <w:rPr>
          <w:sz w:val="20"/>
        </w:rPr>
      </w:r>
    </w:p>
    <w:p>
      <w:pPr>
        <w:pStyle w:val="Normal"/>
        <w:numPr>
          <w:ilvl w:val="0"/>
          <w:numId w:val="6"/>
        </w:numPr>
        <w:rPr>
          <w:sz w:val="20"/>
        </w:rPr>
      </w:pPr>
      <w:r>
        <w:rPr>
          <w:sz w:val="20"/>
        </w:rPr>
        <w:t>Maine</w:t>
      </w:r>
    </w:p>
    <w:p>
      <w:pPr>
        <w:pStyle w:val="Normal"/>
        <w:numPr>
          <w:ilvl w:val="0"/>
          <w:numId w:val="8"/>
        </w:numPr>
        <w:rPr>
          <w:sz w:val="20"/>
        </w:rPr>
      </w:pPr>
      <w:r>
        <w:rPr>
          <w:sz w:val="20"/>
        </w:rPr>
        <w:t>Central Maine Power Company</w:t>
      </w:r>
    </w:p>
    <w:p>
      <w:pPr>
        <w:pStyle w:val="Normal"/>
        <w:numPr>
          <w:ilvl w:val="0"/>
          <w:numId w:val="8"/>
        </w:numPr>
        <w:rPr>
          <w:sz w:val="20"/>
        </w:rPr>
      </w:pPr>
      <w:r>
        <w:rPr>
          <w:sz w:val="20"/>
        </w:rPr>
        <w:t>Bangor Hydroelectric Company</w:t>
      </w:r>
    </w:p>
    <w:p>
      <w:pPr>
        <w:pStyle w:val="Normal"/>
        <w:rPr>
          <w:sz w:val="20"/>
        </w:rPr>
      </w:pPr>
      <w:r>
        <w:rPr>
          <w:sz w:val="20"/>
        </w:rPr>
      </w:r>
    </w:p>
    <w:p>
      <w:pPr>
        <w:pStyle w:val="Normal"/>
        <w:numPr>
          <w:ilvl w:val="0"/>
          <w:numId w:val="6"/>
        </w:numPr>
        <w:rPr>
          <w:sz w:val="20"/>
        </w:rPr>
      </w:pPr>
      <w:r>
        <w:rPr>
          <w:sz w:val="20"/>
        </w:rPr>
        <w:t>Pennsylvania</w:t>
      </w:r>
    </w:p>
    <w:p>
      <w:pPr>
        <w:pStyle w:val="Normal"/>
        <w:numPr>
          <w:ilvl w:val="0"/>
          <w:numId w:val="5"/>
        </w:numPr>
        <w:rPr>
          <w:sz w:val="20"/>
        </w:rPr>
      </w:pPr>
      <w:r>
        <w:rPr>
          <w:sz w:val="20"/>
        </w:rPr>
        <w:t>GPU/First Energy</w:t>
      </w:r>
    </w:p>
    <w:p>
      <w:pPr>
        <w:pStyle w:val="Normal"/>
        <w:rPr>
          <w:sz w:val="20"/>
        </w:rPr>
      </w:pPr>
      <w:r>
        <w:rPr>
          <w:sz w:val="20"/>
        </w:rPr>
      </w:r>
    </w:p>
    <w:p>
      <w:pPr>
        <w:pStyle w:val="Normal"/>
        <w:numPr>
          <w:ilvl w:val="0"/>
          <w:numId w:val="6"/>
        </w:numPr>
        <w:rPr>
          <w:sz w:val="20"/>
        </w:rPr>
      </w:pPr>
      <w:r>
        <w:rPr>
          <w:sz w:val="20"/>
        </w:rPr>
        <w:t>New Jersey</w:t>
      </w:r>
    </w:p>
    <w:p>
      <w:pPr>
        <w:pStyle w:val="Normal"/>
        <w:numPr>
          <w:ilvl w:val="0"/>
          <w:numId w:val="5"/>
        </w:numPr>
        <w:rPr>
          <w:sz w:val="20"/>
        </w:rPr>
      </w:pPr>
      <w:r>
        <w:rPr>
          <w:sz w:val="20"/>
        </w:rPr>
        <w:t>GPU</w:t>
      </w:r>
    </w:p>
    <w:p>
      <w:pPr>
        <w:pStyle w:val="Normal"/>
        <w:numPr>
          <w:ilvl w:val="0"/>
          <w:numId w:val="5"/>
        </w:numPr>
        <w:rPr>
          <w:sz w:val="20"/>
        </w:rPr>
      </w:pPr>
      <w:r>
        <w:rPr>
          <w:sz w:val="20"/>
        </w:rPr>
        <w:t>Connectiv</w:t>
      </w:r>
    </w:p>
    <w:p>
      <w:pPr>
        <w:pStyle w:val="Normal"/>
        <w:numPr>
          <w:ilvl w:val="0"/>
          <w:numId w:val="5"/>
        </w:numPr>
        <w:rPr>
          <w:sz w:val="20"/>
        </w:rPr>
      </w:pPr>
      <w:r>
        <w:rPr>
          <w:sz w:val="20"/>
        </w:rPr>
        <w:t>PSE&amp;G</w:t>
      </w:r>
    </w:p>
    <w:p>
      <w:pPr>
        <w:pStyle w:val="Normal"/>
        <w:rPr>
          <w:sz w:val="20"/>
        </w:rPr>
      </w:pPr>
      <w:r>
        <w:rPr>
          <w:sz w:val="20"/>
        </w:rPr>
      </w:r>
    </w:p>
    <w:p>
      <w:pPr>
        <w:pStyle w:val="Normal"/>
        <w:numPr>
          <w:ilvl w:val="0"/>
          <w:numId w:val="6"/>
        </w:numPr>
        <w:rPr>
          <w:sz w:val="20"/>
        </w:rPr>
      </w:pPr>
      <w:r>
        <w:rPr>
          <w:sz w:val="20"/>
        </w:rPr>
        <w:t>New York</w:t>
      </w:r>
    </w:p>
    <w:p>
      <w:pPr>
        <w:pStyle w:val="Normal"/>
        <w:numPr>
          <w:ilvl w:val="0"/>
          <w:numId w:val="3"/>
        </w:numPr>
        <w:rPr>
          <w:sz w:val="20"/>
        </w:rPr>
      </w:pPr>
      <w:r>
        <w:rPr>
          <w:sz w:val="20"/>
        </w:rPr>
        <w:t>NIMO</w:t>
      </w:r>
    </w:p>
    <w:p>
      <w:pPr>
        <w:pStyle w:val="Normal"/>
        <w:numPr>
          <w:ilvl w:val="0"/>
          <w:numId w:val="3"/>
        </w:numPr>
        <w:rPr>
          <w:sz w:val="20"/>
        </w:rPr>
      </w:pPr>
      <w:r>
        <w:rPr>
          <w:sz w:val="20"/>
        </w:rPr>
        <w:t>Aggregation of Low-Income Customers</w:t>
      </w:r>
    </w:p>
    <w:p>
      <w:pPr>
        <w:pStyle w:val="Normal"/>
        <w:rPr>
          <w:sz w:val="20"/>
        </w:rPr>
      </w:pPr>
      <w:r>
        <w:rPr>
          <w:sz w:val="20"/>
        </w:rPr>
      </w:r>
    </w:p>
    <w:p>
      <w:pPr>
        <w:pStyle w:val="Normal"/>
        <w:numPr>
          <w:ilvl w:val="0"/>
          <w:numId w:val="6"/>
        </w:numPr>
        <w:rPr>
          <w:sz w:val="20"/>
        </w:rPr>
      </w:pPr>
      <w:r>
        <w:rPr>
          <w:sz w:val="20"/>
        </w:rPr>
        <w:t>Florida</w:t>
      </w:r>
    </w:p>
    <w:p>
      <w:pPr>
        <w:pStyle w:val="Normal"/>
        <w:numPr>
          <w:ilvl w:val="0"/>
          <w:numId w:val="3"/>
        </w:numPr>
        <w:rPr>
          <w:sz w:val="20"/>
        </w:rPr>
      </w:pPr>
      <w:r>
        <w:rPr>
          <w:sz w:val="20"/>
        </w:rPr>
        <w:t>Tampa Electric</w:t>
      </w:r>
    </w:p>
    <w:p>
      <w:pPr>
        <w:pStyle w:val="Normal"/>
        <w:numPr>
          <w:ilvl w:val="0"/>
          <w:numId w:val="3"/>
        </w:numPr>
        <w:rPr>
          <w:sz w:val="20"/>
        </w:rPr>
      </w:pPr>
      <w:r>
        <w:rPr>
          <w:sz w:val="20"/>
        </w:rPr>
        <w:t>Seminole</w:t>
      </w:r>
    </w:p>
    <w:p>
      <w:pPr>
        <w:pStyle w:val="Normal"/>
        <w:ind w:start="144" w:end="0"/>
        <w:rPr>
          <w:sz w:val="20"/>
        </w:rPr>
      </w:pPr>
      <w:r>
        <w:rPr>
          <w:sz w:val="20"/>
        </w:rPr>
      </w:r>
    </w:p>
    <w:p>
      <w:pPr>
        <w:pStyle w:val="Normal"/>
        <w:rPr>
          <w:sz w:val="20"/>
        </w:rPr>
      </w:pPr>
      <w:r>
        <w:rPr>
          <w:sz w:val="20"/>
        </w:rPr>
      </w:r>
      <w:r>
        <w:br w:type="page"/>
      </w:r>
    </w:p>
    <w:p>
      <w:pPr>
        <w:pStyle w:val="Normal"/>
        <w:rPr>
          <w:b/>
          <w:bCs/>
        </w:rPr>
      </w:pPr>
      <w:r>
        <w:rPr>
          <w:b/>
          <w:bCs/>
        </w:rPr>
        <w:t>ATLANTIC SEABOARD</w:t>
      </w:r>
    </w:p>
    <w:p>
      <w:pPr>
        <w:pStyle w:val="Normal"/>
        <w:rPr>
          <w:sz w:val="20"/>
        </w:rPr>
      </w:pPr>
      <w:r>
        <w:rPr>
          <w:sz w:val="20"/>
        </w:rPr>
      </w:r>
    </w:p>
    <w:p>
      <w:pPr>
        <w:pStyle w:val="Heading1"/>
        <w:ind w:hanging="0" w:start="0"/>
        <w:rPr>
          <w:b/>
          <w:bCs/>
        </w:rPr>
      </w:pPr>
      <w:r>
        <w:rPr>
          <w:b/>
          <w:bCs/>
          <w:sz w:val="20"/>
        </w:rPr>
        <w:t>Regional Overview</w:t>
      </w:r>
    </w:p>
    <w:p>
      <w:pPr>
        <w:pStyle w:val="BodyText2"/>
        <w:rPr>
          <w:rFonts w:ascii="Times New Roman" w:hAnsi="Times New Roman" w:cs="Times New Roman"/>
        </w:rPr>
      </w:pPr>
      <w:r>
        <w:rPr>
          <w:rFonts w:cs="Times New Roman" w:ascii="Times New Roman" w:hAnsi="Times New Roman"/>
        </w:rPr>
        <w:t>Most of the northwest has already enforced some form of retail access while the southeast remains predominantly a regulated environment. Typically in the restructured environments of the northeast, an entity (often the former incumbent) retains either standard offer service or provider of last resort (POLR) responsibilities.  Sometimes these services are only one service and sometimes these services are separate. A number of these opportunities exist in the northwest. In the more regulated environment of the southeast, delivering EES products and services will usually require cooperation from the regulated utility. Recently, PECO went to bid and rewarded the New Power Company with 20% of the load in their default service program.  Typically, these competitive default services are awarded through an RFP process.</w:t>
      </w:r>
    </w:p>
    <w:p>
      <w:pPr>
        <w:pStyle w:val="Normal"/>
        <w:rPr>
          <w:rFonts w:ascii="Times New Roman" w:hAnsi="Times New Roman" w:cs="Times New Roman"/>
          <w:sz w:val="20"/>
          <w:u w:val="single"/>
        </w:rPr>
      </w:pPr>
      <w:r>
        <w:rPr>
          <w:rFonts w:cs="Times New Roman"/>
          <w:sz w:val="20"/>
          <w:u w:val="single"/>
        </w:rPr>
      </w:r>
    </w:p>
    <w:p>
      <w:pPr>
        <w:pStyle w:val="Heading6"/>
        <w:ind w:hanging="0" w:start="0"/>
        <w:rPr/>
      </w:pPr>
      <w:r>
        <w:rPr/>
        <w:t>State Information</w:t>
      </w:r>
    </w:p>
    <w:p>
      <w:pPr>
        <w:pStyle w:val="Normal"/>
        <w:rPr>
          <w:sz w:val="20"/>
          <w:u w:val="single"/>
        </w:rPr>
      </w:pPr>
      <w:r>
        <w:rPr>
          <w:sz w:val="20"/>
          <w:u w:val="single"/>
        </w:rPr>
      </w:r>
    </w:p>
    <w:p>
      <w:pPr>
        <w:pStyle w:val="Body"/>
        <w:numPr>
          <w:ilvl w:val="0"/>
          <w:numId w:val="7"/>
        </w:numPr>
        <w:rPr>
          <w:rFonts w:ascii="Times New Roman" w:hAnsi="Times New Roman" w:cs="Times New Roman"/>
          <w:b/>
          <w:bCs/>
          <w:color w:val="000000"/>
          <w:u w:val="single"/>
        </w:rPr>
      </w:pPr>
      <w:r>
        <w:rPr>
          <w:rFonts w:cs="Times New Roman" w:ascii="Times New Roman" w:hAnsi="Times New Roman"/>
          <w:b/>
          <w:bCs/>
          <w:color w:val="000000"/>
          <w:u w:val="single"/>
        </w:rPr>
        <w:t>MA</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Heading9"/>
        <w:ind w:hanging="0" w:start="0"/>
        <w:rPr/>
      </w:pPr>
      <w:r>
        <w:rPr/>
        <w:t>Opportunities</w:t>
      </w:r>
    </w:p>
    <w:p>
      <w:pPr>
        <w:pStyle w:val="Normal"/>
        <w:rPr/>
      </w:pPr>
      <w:r>
        <w:rPr>
          <w:b/>
          <w:bCs/>
          <w:sz w:val="20"/>
        </w:rPr>
        <w:t>National Grid USA</w:t>
      </w:r>
      <w:r>
        <w:rPr>
          <w:sz w:val="20"/>
        </w:rPr>
        <w:t xml:space="preserve"> is the US subsidiary of England’s National Grid Company and is the parent company of several electric utilities operating throughout Massachusetts, Rhode Island and a small part of New Hampshire.  Grid is a company committed to developing the transmission and distribution business and is actively seeking to shed all of its load serving responsibilities.  Currently all of its customers have retail choice.</w:t>
      </w:r>
    </w:p>
    <w:p>
      <w:pPr>
        <w:pStyle w:val="Normal"/>
        <w:rPr>
          <w:sz w:val="20"/>
        </w:rPr>
      </w:pPr>
      <w:r>
        <w:rPr>
          <w:sz w:val="20"/>
        </w:rPr>
      </w:r>
    </w:p>
    <w:p>
      <w:pPr>
        <w:pStyle w:val="Normal"/>
        <w:rPr>
          <w:sz w:val="20"/>
        </w:rPr>
      </w:pPr>
      <w:r>
        <w:rPr>
          <w:sz w:val="20"/>
        </w:rPr>
        <w:t>To date retail competition for Grid’s customers has been sluggish due to below market standard offer prices.  Grid has in place hedging contracts for standard offer with PG&amp;E Energy trading which purchased substantial generation in the region from Grid’s predecessor, New England Electric.</w:t>
      </w:r>
    </w:p>
    <w:p>
      <w:pPr>
        <w:pStyle w:val="Normal"/>
        <w:rPr>
          <w:sz w:val="20"/>
        </w:rPr>
      </w:pPr>
      <w:r>
        <w:rPr>
          <w:sz w:val="20"/>
        </w:rPr>
      </w:r>
    </w:p>
    <w:p>
      <w:pPr>
        <w:pStyle w:val="Normal"/>
        <w:rPr>
          <w:sz w:val="20"/>
        </w:rPr>
      </w:pPr>
      <w:r>
        <w:rPr>
          <w:sz w:val="20"/>
        </w:rPr>
        <w:t>Recently Enron has been approached by Grid to discuss opportunities for supplying its customers at retail.  Grid is particularly interested in opportunities to shed a subset of its customers in Massachusetts who are taking “default service” as opposed to standard offer service.  Default service is provided to customers who are new loads since 1997 or who have left standard offer and are without a competitive contract.  Because default is frequently rebid it is currently well above standard offer.  We are told the present default load is approximately 1000 MW.  Grid is interested in exploring possible joint marketing arrangements under current law.  Grid is also open minded and might entertain as well possible changes in the law to permit some form of assignment.</w:t>
      </w:r>
    </w:p>
    <w:p>
      <w:pPr>
        <w:pStyle w:val="Normal"/>
        <w:rPr>
          <w:sz w:val="20"/>
        </w:rPr>
      </w:pPr>
      <w:r>
        <w:rPr>
          <w:sz w:val="20"/>
        </w:rPr>
      </w:r>
    </w:p>
    <w:p>
      <w:pPr>
        <w:pStyle w:val="Normal"/>
        <w:rPr>
          <w:sz w:val="20"/>
        </w:rPr>
      </w:pPr>
      <w:r>
        <w:rPr>
          <w:sz w:val="20"/>
        </w:rPr>
        <w:t>Grid is considering some form of action by next July.  While some form of RFP may be unavoidable we may be better positioned than our competition to handle a retail load of this magnitude.</w:t>
      </w:r>
    </w:p>
    <w:p>
      <w:pPr>
        <w:pStyle w:val="Normal"/>
        <w:rPr>
          <w:sz w:val="20"/>
        </w:rPr>
      </w:pPr>
      <w:r>
        <w:rPr>
          <w:sz w:val="20"/>
        </w:rPr>
      </w:r>
    </w:p>
    <w:p>
      <w:pPr>
        <w:pStyle w:val="Normal"/>
        <w:rPr>
          <w:sz w:val="20"/>
        </w:rPr>
      </w:pPr>
      <w:r>
        <w:rPr>
          <w:sz w:val="20"/>
        </w:rPr>
        <w:t>NStar, parent of Boston Edison and ComElec, also serves a large load of default customers.  A portion of this is supplied at wholesale by ENA.  NStar management may be more difficult to work with than Grid but may be receptive to following their footsteps.  Grid and its predecessor, New England Electric, has traditionally been the trailblazer in Massachusetts.</w:t>
      </w:r>
    </w:p>
    <w:p>
      <w:pPr>
        <w:pStyle w:val="Normal"/>
        <w:rPr>
          <w:sz w:val="20"/>
        </w:rPr>
      </w:pPr>
      <w:r>
        <w:rPr>
          <w:sz w:val="20"/>
        </w:rPr>
      </w:r>
    </w:p>
    <w:p>
      <w:pPr>
        <w:pStyle w:val="Normal"/>
        <w:rPr>
          <w:sz w:val="20"/>
        </w:rPr>
      </w:pPr>
      <w:r>
        <w:rPr>
          <w:sz w:val="20"/>
        </w:rPr>
        <w:t xml:space="preserve">Grid and NStar will welcome the opportunity to shed load, particularly default service. </w:t>
      </w:r>
    </w:p>
    <w:p>
      <w:pPr>
        <w:pStyle w:val="Normal"/>
        <w:rPr>
          <w:sz w:val="20"/>
        </w:rPr>
      </w:pPr>
      <w:r>
        <w:rPr>
          <w:sz w:val="20"/>
        </w:rPr>
      </w:r>
    </w:p>
    <w:p>
      <w:pPr>
        <w:pStyle w:val="Normal"/>
        <w:rPr>
          <w:sz w:val="20"/>
        </w:rPr>
      </w:pPr>
      <w:r>
        <w:rPr>
          <w:sz w:val="20"/>
        </w:rPr>
        <w:t>Massachusetts also has provisions for municipal aggregation under an “opt-out” scheme.  Opt out is attractive because it permits mass acquisition, however, Massachusetts law comes with two significant catches.  First, customers have 180 days in which to leave the aggregation and return to standard offer.  Second, aggregation contracts must be approved by the state utility regulator.  Both of these risks can be mitigated with pricing strategies and consultations with state regulators.</w:t>
      </w:r>
    </w:p>
    <w:p>
      <w:pPr>
        <w:pStyle w:val="Normal"/>
        <w:rPr>
          <w:sz w:val="20"/>
        </w:rPr>
      </w:pPr>
      <w:r>
        <w:rPr>
          <w:sz w:val="20"/>
        </w:rPr>
      </w:r>
    </w:p>
    <w:p>
      <w:pPr>
        <w:pStyle w:val="Heading9"/>
        <w:ind w:hanging="0" w:start="0"/>
        <w:rPr/>
      </w:pPr>
      <w:r>
        <w:rPr/>
        <w:t>Regulatory/Political Environment</w:t>
      </w:r>
    </w:p>
    <w:p>
      <w:pPr>
        <w:pStyle w:val="Normal"/>
        <w:rPr>
          <w:sz w:val="20"/>
        </w:rPr>
      </w:pPr>
      <w:r>
        <w:rPr>
          <w:sz w:val="20"/>
        </w:rPr>
        <w:t>Massachusetts is a full open access state.  Migrations have been low due to below market standard offers.  Default service customers and customers in Western Massachusetts face higher rates, however, and may be more attractive prospects for mass acquisition through a utility or municipality.</w:t>
      </w:r>
    </w:p>
    <w:p>
      <w:pPr>
        <w:pStyle w:val="Normal"/>
        <w:rPr>
          <w:sz w:val="20"/>
        </w:rPr>
      </w:pPr>
      <w:r>
        <w:rPr>
          <w:sz w:val="20"/>
        </w:rPr>
      </w:r>
    </w:p>
    <w:p>
      <w:pPr>
        <w:pStyle w:val="Normal"/>
        <w:rPr>
          <w:sz w:val="20"/>
        </w:rPr>
      </w:pPr>
      <w:r>
        <w:rPr>
          <w:sz w:val="20"/>
        </w:rPr>
        <w:t>Natural gas is also open to competitive supply, but restrictive rules on mandatory capacity assignment has kept migration low.</w:t>
      </w:r>
    </w:p>
    <w:p>
      <w:pPr>
        <w:pStyle w:val="Normal"/>
        <w:rPr>
          <w:sz w:val="20"/>
        </w:rPr>
      </w:pPr>
      <w:r>
        <w:rPr>
          <w:sz w:val="20"/>
        </w:rPr>
      </w:r>
    </w:p>
    <w:p>
      <w:pPr>
        <w:pStyle w:val="Heading9"/>
        <w:ind w:hanging="0" w:start="0"/>
        <w:rPr>
          <w:b w:val="false"/>
          <w:bCs w:val="false"/>
        </w:rPr>
      </w:pPr>
      <w:r>
        <w:rPr>
          <w:b w:val="false"/>
          <w:bCs w:val="false"/>
        </w:rPr>
        <w:t>The Massachusetts DTE (regulatory commission) is generally supportive of open access but seems to have rationalized that Massachusetts’ plan to move slowly to competition is working out and is avoiding a “California” situation.  Utilities have consistently been able to pass on wholesale supply costs.  In some cases this has led to unrecovered stranded cost deferrals but the trend is to avoid such deferrals where possible.</w:t>
      </w:r>
    </w:p>
    <w:p>
      <w:pPr>
        <w:pStyle w:val="Normal"/>
        <w:rPr>
          <w:b/>
          <w:bCs/>
          <w:sz w:val="20"/>
        </w:rPr>
      </w:pPr>
      <w:r>
        <w:rPr>
          <w:b/>
          <w:bCs/>
          <w:sz w:val="20"/>
        </w:rPr>
      </w:r>
    </w:p>
    <w:p>
      <w:pPr>
        <w:pStyle w:val="Normal"/>
        <w:rPr>
          <w:b/>
          <w:bCs/>
          <w:sz w:val="20"/>
        </w:rPr>
      </w:pPr>
      <w:r>
        <w:rPr>
          <w:b/>
          <w:bCs/>
          <w:sz w:val="20"/>
        </w:rPr>
        <w:t>Market</w:t>
      </w:r>
    </w:p>
    <w:p>
      <w:pPr>
        <w:pStyle w:val="Normal"/>
        <w:rPr>
          <w:sz w:val="20"/>
        </w:rPr>
      </w:pPr>
      <w:r>
        <w:rPr>
          <w:sz w:val="20"/>
        </w:rPr>
        <w:t xml:space="preserve">Massachusetts Electric and the NStar Companies (Beco, etc.) each account for about 40% of the State’s electric volume or roughly 20,000 GWh’s each. Consumption by customer group is approx. 35% - residential, 25% - commercial, and 40% large industrial. </w:t>
      </w:r>
    </w:p>
    <w:p>
      <w:pPr>
        <w:pStyle w:val="Normal"/>
        <w:rPr>
          <w:sz w:val="20"/>
        </w:rPr>
      </w:pPr>
      <w:r>
        <w:rPr>
          <w:sz w:val="20"/>
        </w:rPr>
      </w:r>
    </w:p>
    <w:p>
      <w:pPr>
        <w:pStyle w:val="BodyText2"/>
        <w:rPr>
          <w:rFonts w:ascii="Times New Roman" w:hAnsi="Times New Roman" w:cs="Times New Roman"/>
        </w:rPr>
      </w:pPr>
      <w:r>
        <w:rPr>
          <w:rFonts w:cs="Times New Roman" w:ascii="Times New Roman" w:hAnsi="Times New Roman"/>
        </w:rPr>
        <w:t xml:space="preserve">Massachusetts is part of the NEPOOL wholesale market which offers good liquidity and an energy imbalance market.  Recent announcements by the ISO are encouraging and will likely bring NEPOOL in line with PJM in terms of the energy market.  This should improve our ability to hedge congestion and uplift risks in 2003-2005.  NEPOOL also has significant generation additions being constructed.  </w:t>
      </w:r>
    </w:p>
    <w:p>
      <w:pPr>
        <w:pStyle w:val="Normal"/>
        <w:rPr>
          <w:rFonts w:ascii="Times New Roman" w:hAnsi="Times New Roman" w:cs="Times New Roman"/>
          <w:sz w:val="20"/>
        </w:rPr>
      </w:pPr>
      <w:r>
        <w:rPr>
          <w:rFonts w:cs="Times New Roman"/>
          <w:sz w:val="20"/>
        </w:rPr>
      </w:r>
    </w:p>
    <w:p>
      <w:pPr>
        <w:pStyle w:val="Normal"/>
        <w:rPr>
          <w:sz w:val="20"/>
        </w:rPr>
      </w:pPr>
      <w:r>
        <w:rPr>
          <w:sz w:val="20"/>
        </w:rPr>
      </w:r>
    </w:p>
    <w:p>
      <w:pPr>
        <w:pStyle w:val="Normal"/>
        <w:jc w:val="center"/>
        <w:rPr>
          <w:sz w:val="20"/>
          <w:u w:val="single"/>
        </w:rPr>
      </w:pPr>
      <w:r>
        <w:rPr/>
        <w:t>***</w:t>
      </w:r>
    </w:p>
    <w:p>
      <w:pPr>
        <w:pStyle w:val="Normal"/>
        <w:numPr>
          <w:ilvl w:val="0"/>
          <w:numId w:val="7"/>
        </w:numPr>
        <w:rPr>
          <w:b/>
          <w:bCs/>
          <w:sz w:val="20"/>
          <w:u w:val="single"/>
        </w:rPr>
      </w:pPr>
      <w:r>
        <w:rPr>
          <w:b/>
          <w:bCs/>
          <w:sz w:val="20"/>
          <w:u w:val="single"/>
        </w:rPr>
        <w:t>ME</w:t>
      </w:r>
    </w:p>
    <w:p>
      <w:pPr>
        <w:pStyle w:val="Normal"/>
        <w:rPr>
          <w:b/>
          <w:bCs/>
          <w:sz w:val="20"/>
          <w:u w:val="single"/>
        </w:rPr>
      </w:pPr>
      <w:r>
        <w:rPr>
          <w:b/>
          <w:bCs/>
          <w:sz w:val="20"/>
          <w:u w:val="single"/>
        </w:rPr>
      </w:r>
    </w:p>
    <w:p>
      <w:pPr>
        <w:pStyle w:val="Normal"/>
        <w:rPr>
          <w:b/>
          <w:bCs/>
          <w:sz w:val="20"/>
        </w:rPr>
      </w:pPr>
      <w:r>
        <w:rPr>
          <w:b/>
          <w:bCs/>
          <w:sz w:val="20"/>
        </w:rPr>
        <w:t>Opportunities</w:t>
      </w:r>
    </w:p>
    <w:p>
      <w:pPr>
        <w:pStyle w:val="Normal"/>
        <w:rPr/>
      </w:pPr>
      <w:r>
        <w:rPr>
          <w:b/>
          <w:bCs/>
          <w:sz w:val="20"/>
        </w:rPr>
        <w:t>Central Maine Power Company (CMP)</w:t>
      </w:r>
      <w:r>
        <w:rPr>
          <w:sz w:val="20"/>
        </w:rPr>
        <w:t xml:space="preserve"> is Maine’s largest utility.  It has fully divested its generation and has since been acquired by New York State Electric and Gas parent, Energy East.  CMP is indeed focused on leaving the merchant function altogether.  Unlike most other states, Maine has a standard offer obligation that was contemplated to be a retail rather than a wholesale service.  To date, the Public Utilities Commission has not been successful in bidding out the retail obligation and has relied on fallback provisions in the law to direct CMP to procure requirements at wholesale and to provide standard offer service to its customers.  Currently CMP is hedged through March 1, 2002 with ENA serving about 1/3 of the requirement.</w:t>
      </w:r>
    </w:p>
    <w:p>
      <w:pPr>
        <w:pStyle w:val="Normal"/>
        <w:rPr>
          <w:sz w:val="20"/>
        </w:rPr>
      </w:pPr>
      <w:r>
        <w:rPr>
          <w:sz w:val="20"/>
        </w:rPr>
      </w:r>
    </w:p>
    <w:p>
      <w:pPr>
        <w:pStyle w:val="Normal"/>
        <w:rPr>
          <w:sz w:val="20"/>
        </w:rPr>
      </w:pPr>
      <w:r>
        <w:rPr>
          <w:sz w:val="20"/>
        </w:rPr>
        <w:t>Initial discussions with the Public Utilities Commission have been favorable.  We could take out all or a portion of the standard offer for 2002-2004.  While some form of RFP process might be necessary, feedback indicates that we could effectively sell our proposal to the commission in advance of the bid and have a heavy hand in the design of the RFP.</w:t>
      </w:r>
    </w:p>
    <w:p>
      <w:pPr>
        <w:pStyle w:val="Normal"/>
        <w:rPr>
          <w:sz w:val="20"/>
        </w:rPr>
      </w:pPr>
      <w:r>
        <w:rPr>
          <w:sz w:val="20"/>
        </w:rPr>
      </w:r>
    </w:p>
    <w:p>
      <w:pPr>
        <w:pStyle w:val="Normal"/>
        <w:rPr/>
      </w:pPr>
      <w:r>
        <w:rPr>
          <w:sz w:val="20"/>
        </w:rPr>
        <w:t xml:space="preserve">A similar situation exists for Maine’s smaller utility, </w:t>
      </w:r>
      <w:r>
        <w:rPr>
          <w:b/>
          <w:bCs/>
          <w:sz w:val="20"/>
        </w:rPr>
        <w:t>Bangor Hydro Electric</w:t>
      </w:r>
      <w:r>
        <w:rPr>
          <w:sz w:val="20"/>
        </w:rPr>
        <w:t>.  Their hedges are somewhat more long-term but are clearly less than full requirement.  Although they are even less well equipped than CMP to manage risk Bangor has been less eager to leave the merchant function.  Significant pressure from the commission, however, could be brought to bear.</w:t>
      </w:r>
    </w:p>
    <w:p>
      <w:pPr>
        <w:pStyle w:val="Normal"/>
        <w:rPr>
          <w:sz w:val="20"/>
        </w:rPr>
      </w:pPr>
      <w:r>
        <w:rPr>
          <w:sz w:val="20"/>
        </w:rPr>
      </w:r>
    </w:p>
    <w:p>
      <w:pPr>
        <w:pStyle w:val="Normal"/>
        <w:rPr>
          <w:sz w:val="20"/>
        </w:rPr>
      </w:pPr>
      <w:r>
        <w:rPr>
          <w:sz w:val="20"/>
        </w:rPr>
        <w:t>Lastly, it should be noted that EES already serves a significant portion of the CMP and BHE load as EES retail customers.  This does somewhat limit the incremental benefit of taking out the standard offer.  Nevertheless, about 2/3 of Maine load remains on standard offer leaving a significant opportunity.</w:t>
      </w:r>
    </w:p>
    <w:p>
      <w:pPr>
        <w:pStyle w:val="Normal"/>
        <w:rPr>
          <w:sz w:val="20"/>
        </w:rPr>
      </w:pPr>
      <w:r>
        <w:rPr>
          <w:sz w:val="20"/>
        </w:rPr>
      </w:r>
    </w:p>
    <w:p>
      <w:pPr>
        <w:pStyle w:val="Normal"/>
        <w:rPr>
          <w:sz w:val="20"/>
        </w:rPr>
      </w:pPr>
      <w:r>
        <w:rPr>
          <w:sz w:val="20"/>
        </w:rPr>
        <w:t xml:space="preserve">This project probably requires development over the summer and fall for March 2002 implementation.  </w:t>
      </w:r>
    </w:p>
    <w:p>
      <w:pPr>
        <w:pStyle w:val="Normal"/>
        <w:rPr>
          <w:sz w:val="20"/>
        </w:rPr>
      </w:pPr>
      <w:r>
        <w:rPr>
          <w:sz w:val="20"/>
        </w:rPr>
      </w:r>
    </w:p>
    <w:p>
      <w:pPr>
        <w:pStyle w:val="Normal"/>
        <w:rPr>
          <w:sz w:val="20"/>
        </w:rPr>
      </w:pPr>
      <w:r>
        <w:rPr>
          <w:b/>
          <w:bCs/>
          <w:sz w:val="20"/>
        </w:rPr>
        <w:t>Regulatory/Political Environment</w:t>
      </w:r>
    </w:p>
    <w:p>
      <w:pPr>
        <w:pStyle w:val="Normal"/>
        <w:rPr>
          <w:sz w:val="20"/>
        </w:rPr>
      </w:pPr>
      <w:r>
        <w:rPr>
          <w:sz w:val="20"/>
        </w:rPr>
        <w:t>Maine is a fully open retail access state with some of the highest load migration levels in the U.S.  While rates in Maine for standard offer service have soared in the last year Maine has not turned to retail price caps or looked to retrench on retail choice.  No major legislative changes are on the horizon, however, legislative reform is a possibility if we need to advance something of our own.</w:t>
      </w:r>
    </w:p>
    <w:p>
      <w:pPr>
        <w:pStyle w:val="Normal"/>
        <w:rPr>
          <w:sz w:val="20"/>
        </w:rPr>
      </w:pPr>
      <w:r>
        <w:rPr>
          <w:sz w:val="20"/>
        </w:rPr>
        <w:t>The Maine Commission is staunchly pro competition and relatively pro Enron.  Initial discussions with the Commission indicate they are interested in working with us should we develop a proposal to acquire some or all of the standard offer customers at retail.</w:t>
      </w:r>
    </w:p>
    <w:p>
      <w:pPr>
        <w:pStyle w:val="Normal"/>
        <w:rPr>
          <w:sz w:val="20"/>
        </w:rPr>
      </w:pPr>
      <w:r>
        <w:rPr>
          <w:sz w:val="20"/>
        </w:rPr>
      </w:r>
    </w:p>
    <w:p>
      <w:pPr>
        <w:pStyle w:val="Normal"/>
        <w:rPr>
          <w:b/>
          <w:bCs/>
          <w:sz w:val="20"/>
        </w:rPr>
      </w:pPr>
      <w:r>
        <w:rPr>
          <w:b/>
          <w:bCs/>
          <w:sz w:val="20"/>
        </w:rPr>
        <w:t>Market</w:t>
      </w:r>
    </w:p>
    <w:p>
      <w:pPr>
        <w:pStyle w:val="Normal"/>
        <w:rPr>
          <w:sz w:val="20"/>
        </w:rPr>
      </w:pPr>
      <w:r>
        <w:rPr>
          <w:sz w:val="20"/>
        </w:rPr>
        <w:t>Maine is part of the NEPOOL wholesale market which offers good liquidity and an energy imbalance market.  Recent announcements by the ISO are encouraging and will likely bring NEPOOL in line with PJM in terms of the energy market.  This should improve our ability to hedge congestion and uplift risks in 2003-2005.  NEPOOL also has significant generation additions being constructed.  Much of the new generation is located in Maine, near the new Canadian gas supplies making Maine an attractive location to serve load from a locational price standpoint.</w:t>
      </w:r>
    </w:p>
    <w:p>
      <w:pPr>
        <w:pStyle w:val="Normal"/>
        <w:rPr>
          <w:sz w:val="20"/>
          <w:u w:val="single"/>
        </w:rPr>
      </w:pPr>
      <w:r>
        <w:rPr>
          <w:sz w:val="20"/>
          <w:u w:val="single"/>
        </w:rPr>
      </w:r>
    </w:p>
    <w:p>
      <w:pPr>
        <w:pStyle w:val="Normal"/>
        <w:jc w:val="center"/>
        <w:rPr>
          <w:sz w:val="20"/>
        </w:rPr>
      </w:pPr>
      <w:r>
        <w:rPr>
          <w:sz w:val="20"/>
        </w:rPr>
        <w:t>***</w:t>
      </w:r>
    </w:p>
    <w:p>
      <w:pPr>
        <w:pStyle w:val="Normal"/>
        <w:rPr>
          <w:sz w:val="20"/>
          <w:u w:val="single"/>
        </w:rPr>
      </w:pPr>
      <w:r>
        <w:rPr>
          <w:sz w:val="20"/>
          <w:u w:val="single"/>
        </w:rPr>
      </w:r>
    </w:p>
    <w:p>
      <w:pPr>
        <w:pStyle w:val="Normal"/>
        <w:numPr>
          <w:ilvl w:val="0"/>
          <w:numId w:val="10"/>
        </w:numPr>
        <w:rPr>
          <w:b/>
          <w:bCs/>
          <w:sz w:val="20"/>
          <w:u w:val="single"/>
        </w:rPr>
      </w:pPr>
      <w:r>
        <w:rPr>
          <w:b/>
          <w:bCs/>
          <w:sz w:val="20"/>
          <w:u w:val="single"/>
        </w:rPr>
        <w:t>PA</w:t>
      </w:r>
    </w:p>
    <w:p>
      <w:pPr>
        <w:pStyle w:val="Normal"/>
        <w:rPr>
          <w:b/>
          <w:bCs/>
          <w:sz w:val="20"/>
          <w:u w:val="single"/>
        </w:rPr>
      </w:pPr>
      <w:r>
        <w:rPr>
          <w:b/>
          <w:bCs/>
          <w:sz w:val="20"/>
          <w:u w:val="single"/>
        </w:rPr>
      </w:r>
    </w:p>
    <w:p>
      <w:pPr>
        <w:pStyle w:val="Heading5"/>
        <w:ind w:hanging="0" w:start="0"/>
        <w:rPr>
          <w:b/>
          <w:bCs/>
          <w:u w:val="none"/>
        </w:rPr>
      </w:pPr>
      <w:r>
        <w:rPr>
          <w:b/>
          <w:bCs/>
          <w:u w:val="none"/>
        </w:rPr>
        <w:t>Opportunity</w:t>
      </w:r>
    </w:p>
    <w:p>
      <w:pPr>
        <w:pStyle w:val="Normal"/>
        <w:rPr/>
      </w:pPr>
      <w:r>
        <w:rPr>
          <w:sz w:val="20"/>
        </w:rPr>
        <w:t xml:space="preserve">The merger of </w:t>
      </w:r>
      <w:r>
        <w:rPr>
          <w:b/>
          <w:bCs/>
          <w:sz w:val="20"/>
        </w:rPr>
        <w:t>GPU</w:t>
      </w:r>
      <w:r>
        <w:rPr>
          <w:sz w:val="20"/>
        </w:rPr>
        <w:t xml:space="preserve"> with </w:t>
      </w:r>
      <w:r>
        <w:rPr>
          <w:b/>
          <w:bCs/>
          <w:sz w:val="20"/>
        </w:rPr>
        <w:t>First Energy</w:t>
      </w:r>
      <w:r>
        <w:rPr>
          <w:sz w:val="20"/>
        </w:rPr>
        <w:t xml:space="preserve"> will provide a unique opportunity to create a more favorable default service provision (specifically in PA). GPU does not currently own generation having divested to Sithe (who then sold the assets to Reliant).  GPU is scheduled to bid out 40% of its default service this year.</w:t>
      </w:r>
    </w:p>
    <w:p>
      <w:pPr>
        <w:pStyle w:val="Normal"/>
        <w:rPr>
          <w:sz w:val="20"/>
        </w:rPr>
      </w:pPr>
      <w:r>
        <w:rPr>
          <w:sz w:val="20"/>
        </w:rPr>
      </w:r>
    </w:p>
    <w:p>
      <w:pPr>
        <w:pStyle w:val="Normal"/>
        <w:rPr>
          <w:sz w:val="20"/>
        </w:rPr>
      </w:pPr>
      <w:r>
        <w:rPr>
          <w:sz w:val="20"/>
        </w:rPr>
        <w:t>Currently GPU and First Energy are attempting to merge.  As part of those merger proceedings, it will be necessary to restructure the Competitive Default Service.  In the original restructuring settlement, one of the key provisions stated that all bids must fall under the rate cap.  In 2000, when the RFP went out, no party bid because of this stipulation.  Specifically, the current all in shopping credit is $.0453 in Met-Ed and PenElec.  Currently, Enron can not secure a long-term contract to serve this load below that price.  On the positive side, neither can GPU or First Energy.  This means that through the merger proceedings, Enron has an opportunity to transform the CDS to a program in which EES can win the bid.  The RFP is out today.  The merger will be closed by mid-summer.  Therefore, a realistic timeline for transforming the CDS is mid-May.  By then, it will be clear where we stand and the likelihood of EES securing the winning bid.</w:t>
      </w:r>
    </w:p>
    <w:p>
      <w:pPr>
        <w:pStyle w:val="Normal"/>
        <w:rPr>
          <w:sz w:val="20"/>
        </w:rPr>
      </w:pPr>
      <w:r>
        <w:rPr>
          <w:sz w:val="20"/>
        </w:rPr>
      </w:r>
    </w:p>
    <w:p>
      <w:pPr>
        <w:pStyle w:val="Normal"/>
        <w:rPr>
          <w:sz w:val="20"/>
        </w:rPr>
      </w:pPr>
      <w:r>
        <w:rPr>
          <w:sz w:val="20"/>
        </w:rPr>
        <w:t xml:space="preserve">As stated previously, the shopping credit is well below the market price, and the current offerings are (at best) nearly one cent higher than the shopping credit.  Thus, the near term risk of losing a large block of residential customers is slim.  Furthermore, the market in GPU has not seen major changes over the last year in terms of C&amp;I customer choice.  Because the rate cap is the best available price currently, most customers will remain on default service.  The real issues are twofold: First, how do we ensure full recovery of our costs above the rate cap? Second, how do we mitigate market transformation risks?  </w:t>
      </w:r>
    </w:p>
    <w:p>
      <w:pPr>
        <w:pStyle w:val="Normal"/>
        <w:rPr>
          <w:sz w:val="20"/>
        </w:rPr>
      </w:pPr>
      <w:r>
        <w:rPr>
          <w:sz w:val="20"/>
        </w:rPr>
      </w:r>
    </w:p>
    <w:p>
      <w:pPr>
        <w:pStyle w:val="Normal"/>
        <w:rPr>
          <w:sz w:val="20"/>
        </w:rPr>
      </w:pPr>
      <w:r>
        <w:rPr>
          <w:sz w:val="20"/>
        </w:rPr>
        <w:t>First, the merging companies have suggested a deferral mechanism to recover the costs of default service over the rate cap.  Enron could step in and offer a hedging product that would be lower than the cost of this service in the actual purchase of commodity than the companies own self-supply.  Second, because Enron is saving the companies money, Enron could recover the full cost to serve while still allowing the deferral mechanism to remain in place. In other words, Enron is paid full price by GPU.  GPU is allowed to defer the costs of service over the rate cap.  And the customers are allowed the low price suggested by the market.  The key point here is that Enron be able to justify a lower cost than the deferral price suggested by GPU/First Energy.</w:t>
      </w:r>
    </w:p>
    <w:p>
      <w:pPr>
        <w:pStyle w:val="Normal"/>
        <w:rPr>
          <w:sz w:val="20"/>
        </w:rPr>
      </w:pPr>
      <w:r>
        <w:rPr>
          <w:sz w:val="20"/>
        </w:rPr>
      </w:r>
    </w:p>
    <w:p>
      <w:pPr>
        <w:pStyle w:val="Normal"/>
        <w:rPr>
          <w:sz w:val="20"/>
        </w:rPr>
      </w:pPr>
      <w:r>
        <w:rPr>
          <w:sz w:val="20"/>
        </w:rPr>
        <w:t>Second, although in the short-term market transformation is unlikely, over a larger time frame one must admit that better and cheaper market products could exist.  Even if this is so, however, it is most likely that C/I customers will take advantage of this choice as opposed to residentials, who will not choose because of inconvenience and the relatively low upside suggested by a 2% rate reduction.  This is why it is so essential that EES lock up the residentials early so that they will retain this load for a long time period.</w:t>
      </w:r>
    </w:p>
    <w:p>
      <w:pPr>
        <w:pStyle w:val="Normal"/>
        <w:rPr>
          <w:sz w:val="20"/>
        </w:rPr>
      </w:pPr>
      <w:r>
        <w:rPr>
          <w:sz w:val="20"/>
        </w:rPr>
      </w:r>
    </w:p>
    <w:p>
      <w:pPr>
        <w:pStyle w:val="Heading1"/>
        <w:ind w:hanging="0" w:start="0"/>
        <w:rPr>
          <w:b/>
          <w:bCs/>
          <w:sz w:val="20"/>
          <w:u w:val="none"/>
        </w:rPr>
      </w:pPr>
      <w:r>
        <w:rPr>
          <w:b/>
          <w:bCs/>
          <w:sz w:val="20"/>
          <w:u w:val="none"/>
        </w:rPr>
        <w:t>Regulatory Environment</w:t>
      </w:r>
    </w:p>
    <w:p>
      <w:pPr>
        <w:pStyle w:val="Normal"/>
        <w:rPr>
          <w:sz w:val="20"/>
        </w:rPr>
      </w:pPr>
      <w:r>
        <w:rPr>
          <w:sz w:val="20"/>
        </w:rPr>
        <w:t>The state is arguably the leading retail market having passed legislation in 1996.  Although most of the utilities will have some CTC for a minimum of five years, generally the framework is favorable to retail competition.  One of the major short-term issues is the composition of the Commission.  With Nora Brownell moving to FERC and the expiration of Chairman Quain’s post as of April 1 (although he can stay as long as six months after the expiration), the Commission is undergoing some major shifts.  With the loss of these two key members, the Commission lacks leadership. This confusion is to Enron’s advantage.  It is incumbent upon us to attempt to move Quain into another role as quickly as possible because compromise and chaos will hinder GPU/FE from a quick, efficient merger timeline.  This should push the parties back to negotiating on individual principles like Default Service.</w:t>
      </w:r>
    </w:p>
    <w:p>
      <w:pPr>
        <w:pStyle w:val="Normal"/>
        <w:rPr>
          <w:sz w:val="20"/>
        </w:rPr>
      </w:pPr>
      <w:r>
        <w:rPr>
          <w:sz w:val="20"/>
        </w:rPr>
      </w:r>
    </w:p>
    <w:p>
      <w:pPr>
        <w:pStyle w:val="Heading1"/>
        <w:ind w:hanging="0" w:start="0"/>
        <w:rPr>
          <w:b/>
          <w:bCs/>
          <w:sz w:val="20"/>
          <w:u w:val="none"/>
        </w:rPr>
      </w:pPr>
      <w:r>
        <w:rPr>
          <w:b/>
          <w:bCs/>
          <w:sz w:val="20"/>
          <w:u w:val="none"/>
        </w:rPr>
        <w:t>Market</w:t>
      </w:r>
    </w:p>
    <w:p>
      <w:pPr>
        <w:pStyle w:val="Normal"/>
        <w:rPr>
          <w:sz w:val="20"/>
        </w:rPr>
      </w:pPr>
      <w:r>
        <w:rPr>
          <w:sz w:val="20"/>
        </w:rPr>
        <w:t>PA is a member of the PJM Interconnection.  This market has been described as liquid in the West but limited in the East.  GPU spans nearly the entire breadth of Pennsylvania from east to west as well as a large section of New Jersey in the east.  In PA, GPU serves approximately 5100 MW of load split almost evenly between MetEd and PenElec.  In PenElec, the monthly MWh load is as follows: 18.1 million MWh for residentials, 56.5 million MWh for C/I customers, and 12.8 million MWh for street lighting and other public functions.  In MetEd the monthly load is as follows: 11 million MWh of residential, 28.2 million MWh of C/I, 26.7 million MWh of street and highway, and 12 million MWh sales to Public Authorities.</w:t>
      </w:r>
    </w:p>
    <w:p>
      <w:pPr>
        <w:pStyle w:val="BodyText2"/>
        <w:rPr>
          <w:rFonts w:ascii="Times New Roman" w:hAnsi="Times New Roman" w:cs="Times New Roman"/>
        </w:rPr>
      </w:pPr>
      <w:r>
        <w:rPr>
          <w:rFonts w:cs="Times New Roman" w:ascii="Times New Roman" w:hAnsi="Times New Roman"/>
        </w:rPr>
        <w:t>We can settle imbalances in this market.</w:t>
      </w:r>
    </w:p>
    <w:p>
      <w:pPr>
        <w:pStyle w:val="Normal"/>
        <w:rPr>
          <w:rFonts w:ascii="Times New Roman" w:hAnsi="Times New Roman" w:cs="Times New Roman"/>
          <w:sz w:val="20"/>
        </w:rPr>
      </w:pPr>
      <w:r>
        <w:rPr>
          <w:rFonts w:cs="Times New Roman"/>
          <w:sz w:val="20"/>
        </w:rPr>
      </w:r>
    </w:p>
    <w:p>
      <w:pPr>
        <w:pStyle w:val="Normal"/>
        <w:rPr/>
      </w:pPr>
      <w:r>
        <w:rPr>
          <w:sz w:val="20"/>
        </w:rPr>
        <w:t>Siting generation is possible if necessary to cover our position</w:t>
      </w:r>
      <w:r>
        <w:rPr>
          <w:i/>
          <w:iCs/>
          <w:sz w:val="20"/>
        </w:rPr>
        <w:t xml:space="preserve">. </w:t>
      </w:r>
      <w:r>
        <w:rPr>
          <w:sz w:val="20"/>
        </w:rPr>
        <w:t xml:space="preserve">The siting laws in PA are reasonably workable. The problem is on the local level.  In many areas of PA, individual localities have objected to the construction of merchant facilities because of the noise and pollution.  However, because GPU is a member of PJM, Enron could site a facility anywhere in the interconnect.  </w:t>
      </w:r>
    </w:p>
    <w:p>
      <w:pPr>
        <w:pStyle w:val="Normal"/>
        <w:rPr>
          <w:sz w:val="20"/>
        </w:rPr>
      </w:pPr>
      <w:r>
        <w:rPr>
          <w:sz w:val="20"/>
        </w:rPr>
      </w:r>
    </w:p>
    <w:p>
      <w:pPr>
        <w:pStyle w:val="Normal"/>
        <w:rPr>
          <w:sz w:val="20"/>
        </w:rPr>
      </w:pPr>
      <w:r>
        <w:rPr>
          <w:sz w:val="20"/>
        </w:rPr>
        <w:t xml:space="preserve">PJM has liquidity at its western hub because the imports to the hub can come from a number of sources.  Furthermore, at the hub there are many parties willing to contract for energy into PJM.  Within PJM, liquidity is more suspect because of isolated market power issues.  In effect, each individual utility controls its own little fief because of transmission constraints between the former utility service territories.  </w:t>
      </w:r>
    </w:p>
    <w:p>
      <w:pPr>
        <w:pStyle w:val="Normal"/>
        <w:rPr>
          <w:sz w:val="20"/>
        </w:rPr>
      </w:pPr>
      <w:r>
        <w:rPr>
          <w:sz w:val="20"/>
        </w:rPr>
      </w:r>
    </w:p>
    <w:p>
      <w:pPr>
        <w:pStyle w:val="Normal"/>
        <w:rPr>
          <w:sz w:val="20"/>
        </w:rPr>
      </w:pPr>
      <w:r>
        <w:rPr>
          <w:sz w:val="20"/>
        </w:rPr>
        <w:t>GPU sold its generation assets to Sithe who in turn sold those assets to Reliant.  These assets still have an over arching effect on the market in that area because there have not been significant additions to generation in that area and because there is only a limited amount of non-Reliant generation.  Although this will change with time because of new development and the retiring of plants, today there is market power in PJM.  This is displayed in both the ICAP markets and the actual LMPs within former service territories.</w:t>
      </w:r>
    </w:p>
    <w:p>
      <w:pPr>
        <w:pStyle w:val="Normal"/>
        <w:rPr>
          <w:sz w:val="20"/>
          <w:u w:val="single"/>
        </w:rPr>
      </w:pPr>
      <w:r>
        <w:rPr>
          <w:sz w:val="20"/>
          <w:u w:val="single"/>
        </w:rPr>
      </w:r>
    </w:p>
    <w:p>
      <w:pPr>
        <w:pStyle w:val="Normal"/>
        <w:jc w:val="center"/>
        <w:rPr/>
      </w:pPr>
      <w:r>
        <w:rPr/>
        <w:t>***</w:t>
      </w:r>
    </w:p>
    <w:p>
      <w:pPr>
        <w:pStyle w:val="Body"/>
        <w:numPr>
          <w:ilvl w:val="0"/>
          <w:numId w:val="7"/>
        </w:numPr>
        <w:rPr>
          <w:rFonts w:ascii="Times New Roman" w:hAnsi="Times New Roman" w:cs="Times New Roman"/>
          <w:b/>
          <w:bCs/>
          <w:color w:val="000000"/>
          <w:u w:val="single"/>
        </w:rPr>
      </w:pPr>
      <w:r>
        <w:rPr>
          <w:rFonts w:cs="Times New Roman" w:ascii="Times New Roman" w:hAnsi="Times New Roman"/>
          <w:b/>
          <w:bCs/>
          <w:color w:val="000000"/>
          <w:u w:val="single"/>
        </w:rPr>
        <w:t>NJ</w:t>
      </w:r>
    </w:p>
    <w:p>
      <w:pPr>
        <w:pStyle w:val="Body"/>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Opportunities</w:t>
      </w:r>
    </w:p>
    <w:p>
      <w:pPr>
        <w:pStyle w:val="Body"/>
        <w:ind w:start="0" w:end="0"/>
        <w:rPr/>
      </w:pPr>
      <w:r>
        <w:rPr>
          <w:rFonts w:cs="Times New Roman" w:ascii="Times New Roman" w:hAnsi="Times New Roman"/>
          <w:color w:val="000000"/>
        </w:rPr>
        <w:t xml:space="preserve">There are opportunities with </w:t>
      </w:r>
      <w:r>
        <w:rPr>
          <w:rFonts w:cs="Times New Roman" w:ascii="Times New Roman" w:hAnsi="Times New Roman"/>
          <w:b/>
          <w:bCs/>
          <w:color w:val="000000"/>
        </w:rPr>
        <w:t xml:space="preserve">GPU, Connectiv </w:t>
      </w:r>
      <w:r>
        <w:rPr>
          <w:rFonts w:cs="Times New Roman" w:ascii="Times New Roman" w:hAnsi="Times New Roman"/>
          <w:color w:val="000000"/>
        </w:rPr>
        <w:t>and</w:t>
      </w:r>
      <w:r>
        <w:rPr>
          <w:rFonts w:cs="Times New Roman" w:ascii="Times New Roman" w:hAnsi="Times New Roman"/>
          <w:b/>
          <w:bCs/>
          <w:color w:val="000000"/>
        </w:rPr>
        <w:t xml:space="preserve"> PSE&amp;G</w:t>
      </w:r>
      <w:r>
        <w:rPr>
          <w:rFonts w:cs="Times New Roman" w:ascii="Times New Roman" w:hAnsi="Times New Roman"/>
          <w:color w:val="000000"/>
        </w:rPr>
        <w:t xml:space="preserve">. In addition, there are eleven municipals in NJ.  The market is fully open to competition and private and municipal aggregations are allowed, with customer approval.  Utility restructuring agreements provide for Basic Generation Service (BGS) to be bid out competitively for year four (Aug ’02 – July ‘03), to be provided by the successful bidder.   The process and mechanism is to be defined in a BPU proceeding in 2002.  Growing cost recovery deferrals may provide opportunities to accelerate this process.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GPU and Connectiv would welcome opportunities to shed load as they have divested their base load generation.  PSE&amp;G has generation supply from its Genco but would want to work with us to shed a significant portion of load to free-up generation capacity in the market. Their motivation would be to minimize growing deferrals for generation costs.  </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The load sizes are: </w:t>
        <w:tab/>
      </w:r>
    </w:p>
    <w:p>
      <w:pPr>
        <w:pStyle w:val="Body"/>
        <w:ind w:hanging="720" w:start="1440" w:end="0"/>
        <w:rPr>
          <w:rFonts w:ascii="Times New Roman" w:hAnsi="Times New Roman" w:cs="Times New Roman"/>
          <w:color w:val="000000"/>
        </w:rPr>
      </w:pPr>
      <w:r>
        <w:rPr>
          <w:rFonts w:cs="Times New Roman" w:ascii="Times New Roman" w:hAnsi="Times New Roman"/>
          <w:color w:val="000000"/>
        </w:rPr>
        <w:tab/>
        <w:t>GPU – 2400MW  (Res.),  2400MW  (C&amp;I)</w:t>
      </w:r>
    </w:p>
    <w:p>
      <w:pPr>
        <w:pStyle w:val="Body"/>
        <w:ind w:hanging="720" w:start="1440" w:end="0"/>
        <w:rPr>
          <w:rFonts w:ascii="Times New Roman" w:hAnsi="Times New Roman" w:cs="Times New Roman"/>
          <w:color w:val="000000"/>
        </w:rPr>
      </w:pPr>
      <w:r>
        <w:rPr>
          <w:rFonts w:cs="Times New Roman" w:ascii="Times New Roman" w:hAnsi="Times New Roman"/>
          <w:color w:val="000000"/>
        </w:rPr>
        <w:tab/>
        <w:t>Connectiv – 1100 (Res.),  1200 (C&amp;I)</w:t>
      </w:r>
    </w:p>
    <w:p>
      <w:pPr>
        <w:pStyle w:val="Body"/>
        <w:ind w:hanging="720" w:start="1440" w:end="0"/>
        <w:rPr>
          <w:rFonts w:ascii="Times New Roman" w:hAnsi="Times New Roman" w:cs="Times New Roman"/>
          <w:color w:val="000000"/>
        </w:rPr>
      </w:pPr>
      <w:r>
        <w:rPr>
          <w:rFonts w:cs="Times New Roman" w:ascii="Times New Roman" w:hAnsi="Times New Roman"/>
          <w:color w:val="000000"/>
        </w:rPr>
        <w:tab/>
        <w:t>PSE&amp;G -  3900 (Res.), 5700 (C&amp;I)</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b/>
          <w:bCs/>
          <w:color w:val="000000"/>
        </w:rPr>
        <w:t>Regulatory/Political Environment</w:t>
      </w:r>
    </w:p>
    <w:p>
      <w:pPr>
        <w:pStyle w:val="Body"/>
        <w:ind w:start="0" w:end="0"/>
        <w:rPr>
          <w:rFonts w:ascii="Times New Roman" w:hAnsi="Times New Roman" w:cs="Times New Roman"/>
          <w:color w:val="000000"/>
        </w:rPr>
      </w:pPr>
      <w:r>
        <w:rPr>
          <w:rFonts w:cs="Times New Roman" w:ascii="Times New Roman" w:hAnsi="Times New Roman"/>
          <w:color w:val="000000"/>
        </w:rPr>
        <w:t>The market is fully open, although switching has been slow and switch rates have declined in recent months.  Load being served by a competitive market has actually declined.  Changes in the future include</w:t>
      </w:r>
    </w:p>
    <w:p>
      <w:pPr>
        <w:pStyle w:val="Body"/>
        <w:tabs>
          <w:tab w:val="clear" w:pos="720"/>
          <w:tab w:val="left" w:pos="1440" w:leader="none"/>
        </w:tabs>
        <w:ind w:start="0" w:end="0"/>
        <w:rPr>
          <w:rFonts w:ascii="Times New Roman" w:hAnsi="Times New Roman" w:cs="Times New Roman"/>
          <w:color w:val="000000"/>
        </w:rPr>
      </w:pPr>
      <w:r>
        <w:rPr>
          <w:rFonts w:cs="Times New Roman" w:ascii="Times New Roman" w:hAnsi="Times New Roman"/>
          <w:color w:val="000000"/>
        </w:rPr>
        <w:t>enhancements to billing and metering, such as assumption of receivables, TPS consolidated billing and enhanced metering data.  There will be competitive basic generation service by year four of transition. Some relaxation to the rules on municipal aggregation is possible.  GPU-First Energy, and Connectiv-Pepco merger cases could open a door to some favorable refinements of their restructuring plan.  As for natural gas, the market is open for all customer classes, although there has been very low migration among residentials.</w:t>
      </w:r>
    </w:p>
    <w:p>
      <w:pPr>
        <w:pStyle w:val="Body"/>
        <w:rPr>
          <w:rFonts w:ascii="Times New Roman" w:hAnsi="Times New Roman" w:cs="Times New Roman"/>
          <w:color w:val="000000"/>
        </w:rPr>
      </w:pPr>
      <w:r>
        <w:rPr>
          <w:rFonts w:cs="Times New Roman" w:ascii="Times New Roman" w:hAnsi="Times New Roman"/>
          <w:color w:val="000000"/>
        </w:rPr>
        <w:tab/>
      </w:r>
    </w:p>
    <w:p>
      <w:pPr>
        <w:pStyle w:val="Body"/>
        <w:ind w:start="0" w:end="0"/>
        <w:rPr>
          <w:rFonts w:ascii="Times New Roman" w:hAnsi="Times New Roman" w:cs="Times New Roman"/>
          <w:color w:val="000000"/>
        </w:rPr>
      </w:pPr>
      <w:r>
        <w:rPr>
          <w:rFonts w:cs="Times New Roman" w:ascii="Times New Roman" w:hAnsi="Times New Roman"/>
          <w:color w:val="000000"/>
        </w:rPr>
        <w:t>The regulatory commission is supportive of competition but at same time has been slow to consider positive changes, such as relaxation of the wet signature rule, due to concerns over consumer protection.   It has generally been opposed to the concept of assignment of customers. Anticipated changes in Commissioners may prove beneficial for us.</w:t>
      </w:r>
    </w:p>
    <w:p>
      <w:pPr>
        <w:pStyle w:val="Body"/>
        <w:ind w:hanging="720" w:start="144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Wholesale Market</w:t>
      </w:r>
    </w:p>
    <w:p>
      <w:pPr>
        <w:pStyle w:val="Body"/>
        <w:ind w:start="0" w:end="0"/>
        <w:rPr>
          <w:rFonts w:ascii="Times New Roman" w:hAnsi="Times New Roman" w:cs="Times New Roman"/>
          <w:color w:val="000000"/>
        </w:rPr>
      </w:pPr>
      <w:r>
        <w:rPr>
          <w:rFonts w:cs="Times New Roman" w:ascii="Times New Roman" w:hAnsi="Times New Roman"/>
          <w:color w:val="000000"/>
        </w:rPr>
        <w:t xml:space="preserve">The relevant market is PJM.  PJM offers good liquidity but has presented some challenges in hedging congestion in the eastern PJM. Recent movement toward a full auction of FTRs should improve our ability to hedge. </w:t>
      </w:r>
    </w:p>
    <w:p>
      <w:pPr>
        <w:pStyle w:val="Normal"/>
        <w:rPr>
          <w:rFonts w:ascii="Times New Roman" w:hAnsi="Times New Roman" w:cs="Times New Roman"/>
          <w:b/>
          <w:bCs/>
          <w:color w:val="000000"/>
          <w:sz w:val="20"/>
          <w:u w:val="single"/>
        </w:rPr>
      </w:pPr>
      <w:r>
        <w:rPr>
          <w:rFonts w:cs="Times New Roman"/>
          <w:b/>
          <w:bCs/>
          <w:color w:val="000000"/>
          <w:sz w:val="20"/>
          <w:u w:val="single"/>
        </w:rPr>
      </w:r>
    </w:p>
    <w:p>
      <w:pPr>
        <w:pStyle w:val="Normal"/>
        <w:jc w:val="center"/>
        <w:rPr>
          <w:b/>
          <w:bCs/>
          <w:sz w:val="20"/>
          <w:u w:val="single"/>
        </w:rPr>
      </w:pPr>
      <w:r>
        <w:rPr>
          <w:b/>
          <w:bCs/>
          <w:sz w:val="20"/>
        </w:rPr>
        <w:t>***</w:t>
      </w:r>
    </w:p>
    <w:p>
      <w:pPr>
        <w:pStyle w:val="Normal"/>
        <w:numPr>
          <w:ilvl w:val="0"/>
          <w:numId w:val="7"/>
        </w:numPr>
        <w:rPr>
          <w:b/>
          <w:bCs/>
          <w:sz w:val="20"/>
          <w:u w:val="single"/>
        </w:rPr>
      </w:pPr>
      <w:r>
        <w:rPr>
          <w:b/>
          <w:bCs/>
          <w:sz w:val="20"/>
          <w:u w:val="single"/>
        </w:rPr>
        <w:t>NY</w:t>
      </w:r>
    </w:p>
    <w:p>
      <w:pPr>
        <w:pStyle w:val="Normal"/>
        <w:rPr>
          <w:b/>
          <w:bCs/>
          <w:sz w:val="20"/>
          <w:u w:val="single"/>
        </w:rPr>
      </w:pPr>
      <w:r>
        <w:rPr>
          <w:b/>
          <w:bCs/>
          <w:sz w:val="20"/>
          <w:u w:val="single"/>
        </w:rPr>
      </w:r>
    </w:p>
    <w:p>
      <w:pPr>
        <w:pStyle w:val="Heading9"/>
        <w:ind w:hanging="0" w:start="0"/>
        <w:rPr/>
      </w:pPr>
      <w:r>
        <w:rPr/>
        <w:t>Opportunities</w:t>
      </w:r>
    </w:p>
    <w:p>
      <w:pPr>
        <w:pStyle w:val="Normal"/>
        <w:rPr/>
      </w:pPr>
      <w:r>
        <w:rPr>
          <w:b/>
          <w:bCs/>
          <w:sz w:val="20"/>
        </w:rPr>
        <w:t>Niagara-Mohawk</w:t>
      </w:r>
      <w:r>
        <w:rPr>
          <w:sz w:val="20"/>
        </w:rPr>
        <w:t xml:space="preserve"> </w:t>
      </w:r>
      <w:r>
        <w:rPr>
          <w:b/>
          <w:bCs/>
          <w:sz w:val="20"/>
        </w:rPr>
        <w:t>Industrial Load:</w:t>
      </w:r>
      <w:r>
        <w:rPr>
          <w:sz w:val="20"/>
        </w:rPr>
        <w:t xml:space="preserve">  There is roughly 1200 MW of industrial load that receives day-ahead wholesale energy pricing for commodities from Niagara-Mohawk.  These customers are highly motivated to move to alternative sources of commodity.  EES has met with the law firm representing a coalition of some of this industrial load and responded to at least two RFPs seeking roughly 200 MW of power.  All offers were rejected, although Enron’s were the highest.  There is still considerable interest by this group in locking in firm supply.</w:t>
      </w:r>
    </w:p>
    <w:p>
      <w:pPr>
        <w:pStyle w:val="Normal"/>
        <w:rPr>
          <w:sz w:val="20"/>
        </w:rPr>
      </w:pPr>
      <w:r>
        <w:rPr>
          <w:sz w:val="20"/>
        </w:rPr>
      </w:r>
    </w:p>
    <w:p>
      <w:pPr>
        <w:pStyle w:val="Normal"/>
        <w:rPr/>
      </w:pPr>
      <w:r>
        <w:rPr>
          <w:b/>
          <w:bCs/>
          <w:sz w:val="20"/>
        </w:rPr>
        <w:t xml:space="preserve">Load Curtailment Programs:  </w:t>
      </w:r>
      <w:r>
        <w:rPr>
          <w:sz w:val="20"/>
        </w:rPr>
        <w:t>Opportunities to benefit from load curtailment programs come from two sources:</w:t>
      </w:r>
    </w:p>
    <w:p>
      <w:pPr>
        <w:pStyle w:val="Normal"/>
        <w:rPr>
          <w:sz w:val="20"/>
        </w:rPr>
      </w:pPr>
      <w:r>
        <w:rPr>
          <w:sz w:val="20"/>
        </w:rPr>
      </w:r>
    </w:p>
    <w:p>
      <w:pPr>
        <w:pStyle w:val="Normal"/>
        <w:rPr>
          <w:sz w:val="20"/>
        </w:rPr>
      </w:pPr>
      <w:r>
        <w:rPr>
          <w:sz w:val="20"/>
        </w:rPr>
        <w:t xml:space="preserve">1. </w:t>
      </w:r>
      <w:r>
        <w:rPr>
          <w:i/>
          <w:iCs/>
          <w:sz w:val="20"/>
        </w:rPr>
        <w:t>Incentive payments using System Benefit Charge (SBC) funds to partially offset cost of implementing energy efficiency measures</w:t>
      </w:r>
      <w:r>
        <w:rPr>
          <w:sz w:val="20"/>
        </w:rPr>
        <w:t xml:space="preserve">: Energy efficiency efforts will include performance-based incentives for efficiency and demand reduction, with increased incentives offered to low-income customers.  To cite one example, the program that </w:t>
      </w:r>
      <w:r>
        <w:rPr>
          <w:color w:val="000000"/>
          <w:sz w:val="20"/>
          <w:szCs w:val="20"/>
        </w:rPr>
        <w:t>already provides a 100% incentive for web-enabled advanced metering/monitoring for institutional clients is going to be expanded to include commercial and industrial clients as well (incl. large multi-family dwellings). The program will pay 100% of the capital costs, as well as several months’ worth of monitoring costs.</w:t>
      </w:r>
    </w:p>
    <w:p>
      <w:pPr>
        <w:pStyle w:val="Normal"/>
        <w:rPr>
          <w:sz w:val="20"/>
        </w:rPr>
      </w:pPr>
      <w:r>
        <w:rPr>
          <w:sz w:val="20"/>
        </w:rPr>
      </w:r>
    </w:p>
    <w:p>
      <w:pPr>
        <w:pStyle w:val="Normal"/>
        <w:rPr/>
      </w:pPr>
      <w:r>
        <w:rPr>
          <w:sz w:val="20"/>
        </w:rPr>
        <w:t>2</w:t>
      </w:r>
      <w:r>
        <w:rPr>
          <w:i/>
          <w:iCs/>
          <w:sz w:val="20"/>
        </w:rPr>
        <w:t>. Direct participation in ISO markets</w:t>
      </w:r>
      <w:r>
        <w:rPr>
          <w:sz w:val="20"/>
        </w:rPr>
        <w:t xml:space="preserve">:  Significant financial incentives in ISO markets are also available for load curtailability.  On-site generation (or load curtailability) can count toward meeting a customer’s ICAP obligation.  This can be worth upwards of $100,000/MW in the NYC area.  Opportunities also exist to bid curtailable load into day-ahead markets and be paid for not consuming. </w:t>
      </w:r>
    </w:p>
    <w:p>
      <w:pPr>
        <w:pStyle w:val="Normal"/>
        <w:rPr>
          <w:sz w:val="20"/>
        </w:rPr>
      </w:pPr>
      <w:r>
        <w:rPr>
          <w:sz w:val="20"/>
        </w:rPr>
      </w:r>
    </w:p>
    <w:p>
      <w:pPr>
        <w:pStyle w:val="Normal"/>
        <w:tabs>
          <w:tab w:val="clear" w:pos="720"/>
          <w:tab w:val="center" w:pos="4320" w:leader="none"/>
        </w:tabs>
        <w:rPr/>
      </w:pPr>
      <w:r>
        <w:rPr>
          <w:b/>
          <w:bCs/>
          <w:sz w:val="20"/>
        </w:rPr>
        <w:t>Aggregation of Low-Income Customers:</w:t>
      </w:r>
      <w:r>
        <w:rPr>
          <w:sz w:val="20"/>
        </w:rPr>
        <w:t xml:space="preserve"> There have been preliminary conversations with state officials concerning possible outsourcing of commodity for low-income customers occupying state-supported housing.  Annual electric requirements for this statewide aggregation could be as much as $1 billion/yr. (including T&amp;D).  </w:t>
      </w:r>
    </w:p>
    <w:p>
      <w:pPr>
        <w:pStyle w:val="Normal"/>
        <w:tabs>
          <w:tab w:val="clear" w:pos="720"/>
          <w:tab w:val="left" w:pos="1980" w:leader="none"/>
        </w:tabs>
        <w:rPr>
          <w:sz w:val="20"/>
        </w:rPr>
      </w:pPr>
      <w:r>
        <w:rPr>
          <w:sz w:val="20"/>
        </w:rPr>
      </w:r>
    </w:p>
    <w:p>
      <w:pPr>
        <w:pStyle w:val="Normal"/>
        <w:rPr>
          <w:sz w:val="20"/>
        </w:rPr>
      </w:pPr>
      <w:r>
        <w:rPr>
          <w:sz w:val="20"/>
        </w:rPr>
        <w:t xml:space="preserve">It is unlikely that Enron will identify suitable municipals or co-ops to work with.  Munis represent a very small percentage of retail load.  Moreover, they have access to very low cost hydropower owned by NYPA to meet most of their energy requirements.   </w:t>
      </w:r>
    </w:p>
    <w:p>
      <w:pPr>
        <w:pStyle w:val="Normal"/>
        <w:rPr>
          <w:sz w:val="20"/>
        </w:rPr>
      </w:pPr>
      <w:r>
        <w:rPr>
          <w:sz w:val="20"/>
        </w:rPr>
      </w:r>
    </w:p>
    <w:p>
      <w:pPr>
        <w:pStyle w:val="Heading9"/>
        <w:ind w:hanging="0" w:start="0"/>
        <w:rPr/>
      </w:pPr>
      <w:r>
        <w:rPr/>
        <w:t xml:space="preserve">Regulatory Environment </w:t>
      </w:r>
    </w:p>
    <w:p>
      <w:pPr>
        <w:pStyle w:val="BodyText"/>
        <w:rPr/>
      </w:pPr>
      <w:r>
        <w:rPr>
          <w:rFonts w:cs="Times New Roman" w:ascii="Times New Roman" w:hAnsi="Times New Roman"/>
          <w:i w:val="false"/>
          <w:iCs w:val="false"/>
        </w:rPr>
        <w:t>The phasing in of retail competition as been largely completed</w:t>
      </w:r>
      <w:r>
        <w:rPr>
          <w:i w:val="false"/>
          <w:iCs w:val="false"/>
        </w:rPr>
        <w:t xml:space="preserve"> </w:t>
      </w:r>
      <w:r>
        <w:rPr>
          <w:rFonts w:cs="Times New Roman" w:ascii="Times New Roman" w:hAnsi="Times New Roman"/>
          <w:i w:val="false"/>
          <w:iCs w:val="false"/>
        </w:rPr>
        <w:t xml:space="preserve">through restructuring plans or “settlements” approved by the PSC.  In addition, the PSC has initiated a number of generic proceedings aimed at improving NY’s competitive market. </w:t>
      </w:r>
      <w:r>
        <w:rPr>
          <w:rFonts w:cs="Times New Roman" w:ascii="Times New Roman" w:hAnsi="Times New Roman"/>
          <w:i w:val="false"/>
          <w:iCs w:val="false"/>
          <w:color w:val="000000"/>
        </w:rPr>
        <w:t>The utilities entered into comprehensive multi-year settlements that contained individually negotiated retail access phase-in schedules (now virtually all complete), shopping credits (in NY, these are referred to as “back-out” rates, since the credit is the amount that is subtracted, or backed out, from the customer’s bundled rate if the customer physically buys commodity from a competitor), and a requirement to divest virtually all fossil generation.</w:t>
      </w:r>
    </w:p>
    <w:p>
      <w:pPr>
        <w:pStyle w:val="Normal"/>
        <w:rPr>
          <w:rFonts w:ascii="Times New Roman" w:hAnsi="Times New Roman" w:cs="Times New Roman"/>
          <w:i/>
          <w:i/>
          <w:iCs/>
          <w:color w:val="000000"/>
          <w:sz w:val="20"/>
        </w:rPr>
      </w:pPr>
      <w:r>
        <w:rPr>
          <w:rFonts w:cs="Times New Roman"/>
          <w:i/>
          <w:iCs/>
          <w:color w:val="000000"/>
          <w:sz w:val="20"/>
        </w:rPr>
      </w:r>
    </w:p>
    <w:p>
      <w:pPr>
        <w:pStyle w:val="Normal"/>
        <w:tabs>
          <w:tab w:val="clear" w:pos="720"/>
          <w:tab w:val="left" w:pos="1980" w:leader="none"/>
        </w:tabs>
        <w:rPr>
          <w:sz w:val="20"/>
        </w:rPr>
      </w:pPr>
      <w:r>
        <w:rPr>
          <w:sz w:val="20"/>
        </w:rPr>
        <w:t>For natural gas, the utilities have been ordered out of the merchant function by the end of 2005.  There has been a straw-man proposal for electricity to follow the same timeframe.</w:t>
      </w:r>
    </w:p>
    <w:p>
      <w:pPr>
        <w:pStyle w:val="Normal"/>
        <w:tabs>
          <w:tab w:val="clear" w:pos="720"/>
          <w:tab w:val="left" w:pos="1980" w:leader="none"/>
        </w:tabs>
        <w:rPr>
          <w:sz w:val="20"/>
        </w:rPr>
      </w:pPr>
      <w:r>
        <w:rPr>
          <w:sz w:val="20"/>
        </w:rPr>
      </w:r>
    </w:p>
    <w:p>
      <w:pPr>
        <w:pStyle w:val="Normal"/>
        <w:tabs>
          <w:tab w:val="clear" w:pos="720"/>
          <w:tab w:val="left" w:pos="1980" w:leader="none"/>
        </w:tabs>
        <w:rPr>
          <w:sz w:val="20"/>
        </w:rPr>
      </w:pPr>
      <w:r>
        <w:rPr>
          <w:sz w:val="20"/>
        </w:rPr>
        <w:t xml:space="preserve">Some utilities have recently proposed very long-term fixed price options in response to price volatility concerns.   Enron has intervened in the proceedings and is opposing these proposals. By the end of the year the resolution of these issues and others should be clearer.  </w:t>
      </w:r>
    </w:p>
    <w:p>
      <w:pPr>
        <w:pStyle w:val="Normal"/>
        <w:tabs>
          <w:tab w:val="clear" w:pos="720"/>
          <w:tab w:val="left" w:pos="1980" w:leader="none"/>
        </w:tabs>
        <w:rPr>
          <w:sz w:val="20"/>
        </w:rPr>
      </w:pPr>
      <w:r>
        <w:rPr>
          <w:sz w:val="20"/>
        </w:rPr>
      </w:r>
    </w:p>
    <w:p>
      <w:pPr>
        <w:pStyle w:val="Normal"/>
        <w:rPr/>
      </w:pPr>
      <w:r>
        <w:rPr>
          <w:sz w:val="20"/>
        </w:rPr>
        <w:t>With the exception of LIPA, the state is virtually completely open to retail access.</w:t>
      </w:r>
      <w:r>
        <w:rPr>
          <w:b/>
          <w:bCs/>
          <w:sz w:val="20"/>
        </w:rPr>
        <w:t xml:space="preserve">  </w:t>
      </w:r>
      <w:r>
        <w:rPr>
          <w:sz w:val="20"/>
        </w:rPr>
        <w:t>The PUC is actively considering the issue of ordering the utilities out of the merchant function.  A decision is expected by year’s end. However, the PUC has already ordered retail billing and metering services to be made competitive and back out credits for these services are to be set on the basis of the utility’s long-run avoided costs.  Competitive metering will open initially for large energy users.</w:t>
      </w:r>
    </w:p>
    <w:p>
      <w:pPr>
        <w:pStyle w:val="Normal"/>
        <w:rPr>
          <w:sz w:val="20"/>
        </w:rPr>
      </w:pPr>
      <w:r>
        <w:rPr>
          <w:sz w:val="20"/>
        </w:rPr>
        <w:t xml:space="preserve"> </w:t>
      </w:r>
    </w:p>
    <w:p>
      <w:pPr>
        <w:pStyle w:val="Heading9"/>
        <w:ind w:hanging="0" w:start="0"/>
        <w:rPr/>
      </w:pPr>
      <w:r>
        <w:rPr/>
        <w:t>Political Environment</w:t>
      </w:r>
    </w:p>
    <w:p>
      <w:pPr>
        <w:pStyle w:val="BodyText2"/>
        <w:rPr>
          <w:rFonts w:ascii="Times New Roman" w:hAnsi="Times New Roman" w:cs="Times New Roman"/>
        </w:rPr>
      </w:pPr>
      <w:r>
        <w:rPr>
          <w:rFonts w:cs="Times New Roman" w:ascii="Times New Roman" w:hAnsi="Times New Roman"/>
        </w:rPr>
        <w:t>New York, particularly downstate, faces a very tight supply this summer.  The issue of energy shortages has rapidly become extremely politicized and has contributed to significant regulatory uncertainty.  Increasingly, New Yorkers are warned about the situation becoming “another CA.”  The response of regulators to potential price spikes and supply shortages has been to propose bid caps and other market intervention techniques.</w:t>
      </w:r>
    </w:p>
    <w:p>
      <w:pPr>
        <w:pStyle w:val="BodyText2"/>
        <w:rPr>
          <w:rFonts w:ascii="Times New Roman" w:hAnsi="Times New Roman" w:cs="Times New Roman"/>
        </w:rPr>
      </w:pPr>
      <w:r>
        <w:rPr>
          <w:rFonts w:cs="Times New Roman" w:ascii="Times New Roman" w:hAnsi="Times New Roman"/>
        </w:rPr>
      </w:r>
    </w:p>
    <w:p>
      <w:pPr>
        <w:pStyle w:val="BodyText2"/>
        <w:rPr>
          <w:rFonts w:ascii="Times New Roman" w:hAnsi="Times New Roman" w:cs="Times New Roman"/>
          <w:b/>
          <w:bCs/>
        </w:rPr>
      </w:pPr>
      <w:r>
        <w:rPr>
          <w:rFonts w:cs="Times New Roman" w:ascii="Times New Roman" w:hAnsi="Times New Roman"/>
          <w:b/>
          <w:bCs/>
        </w:rPr>
        <w:t>Wholesale Markets</w:t>
      </w:r>
    </w:p>
    <w:p>
      <w:pPr>
        <w:pStyle w:val="BodyText2"/>
        <w:rPr>
          <w:rFonts w:ascii="Times New Roman" w:hAnsi="Times New Roman" w:cs="Times New Roman"/>
        </w:rPr>
      </w:pPr>
      <w:r>
        <w:rPr>
          <w:rFonts w:cs="Times New Roman" w:ascii="Times New Roman" w:hAnsi="Times New Roman"/>
        </w:rPr>
        <w:t>NY’s competitive wholesale market went live in November 1999.  The ISO has responded to numerous start up and design problems by adopting a number of Emergency Corrective Actions, and ultimately bid caps for certain ancillary markets and for energy markets.  The ISO recently announced the adoption of a “circuit breaker” proposal that would go into effect this summer, to attempt to mitigate day-ahead prices that reflect the exercise of market power during periods when the market is not workably competitive.</w:t>
      </w:r>
    </w:p>
    <w:p>
      <w:pPr>
        <w:pStyle w:val="Normal"/>
        <w:rPr>
          <w:rFonts w:ascii="Times New Roman" w:hAnsi="Times New Roman" w:cs="Times New Roman"/>
          <w:sz w:val="20"/>
        </w:rPr>
      </w:pPr>
      <w:r>
        <w:rPr>
          <w:rFonts w:cs="Times New Roman"/>
          <w:sz w:val="20"/>
        </w:rPr>
      </w:r>
    </w:p>
    <w:p>
      <w:pPr>
        <w:pStyle w:val="Normal"/>
        <w:jc w:val="center"/>
        <w:rPr>
          <w:sz w:val="20"/>
        </w:rPr>
      </w:pPr>
      <w:r>
        <w:rPr>
          <w:sz w:val="20"/>
        </w:rPr>
        <w:t>***</w:t>
      </w:r>
    </w:p>
    <w:p>
      <w:pPr>
        <w:pStyle w:val="Normal"/>
        <w:numPr>
          <w:ilvl w:val="0"/>
          <w:numId w:val="7"/>
        </w:numPr>
        <w:autoSpaceDE w:val="false"/>
        <w:spacing w:lineRule="atLeast" w:line="240"/>
        <w:rPr>
          <w:b/>
          <w:bCs/>
          <w:color w:val="000000"/>
          <w:sz w:val="20"/>
          <w:szCs w:val="20"/>
          <w:u w:val="single"/>
        </w:rPr>
      </w:pPr>
      <w:r>
        <w:rPr>
          <w:b/>
          <w:bCs/>
          <w:color w:val="000000"/>
          <w:sz w:val="20"/>
          <w:szCs w:val="20"/>
          <w:u w:val="single"/>
        </w:rPr>
        <w:t>FL</w:t>
      </w:r>
    </w:p>
    <w:p>
      <w:pPr>
        <w:pStyle w:val="Normal"/>
        <w:autoSpaceDE w:val="false"/>
        <w:spacing w:lineRule="atLeast" w:line="240"/>
        <w:rPr>
          <w:b/>
          <w:bCs/>
          <w:color w:val="000000"/>
          <w:sz w:val="20"/>
          <w:szCs w:val="20"/>
          <w:u w:val="single"/>
        </w:rPr>
      </w:pPr>
      <w:r>
        <w:rPr>
          <w:b/>
          <w:bCs/>
          <w:color w:val="000000"/>
          <w:sz w:val="20"/>
          <w:szCs w:val="20"/>
          <w:u w:val="single"/>
        </w:rPr>
      </w:r>
    </w:p>
    <w:p>
      <w:pPr>
        <w:pStyle w:val="Normal"/>
        <w:autoSpaceDE w:val="false"/>
        <w:spacing w:lineRule="atLeast" w:line="240"/>
        <w:rPr>
          <w:b/>
          <w:bCs/>
          <w:color w:val="000000"/>
          <w:sz w:val="20"/>
          <w:szCs w:val="20"/>
        </w:rPr>
      </w:pPr>
      <w:r>
        <w:rPr>
          <w:b/>
          <w:bCs/>
          <w:color w:val="000000"/>
          <w:sz w:val="20"/>
          <w:szCs w:val="20"/>
        </w:rPr>
        <w:t>Opportunities</w:t>
      </w:r>
    </w:p>
    <w:p>
      <w:pPr>
        <w:pStyle w:val="Normal"/>
        <w:autoSpaceDE w:val="false"/>
        <w:spacing w:lineRule="atLeast" w:line="240"/>
        <w:rPr/>
      </w:pPr>
      <w:r>
        <w:rPr>
          <w:b/>
          <w:bCs/>
          <w:color w:val="000000"/>
          <w:sz w:val="20"/>
          <w:szCs w:val="20"/>
        </w:rPr>
        <w:t>Tampa Electric Company (TECO)</w:t>
      </w:r>
      <w:r>
        <w:rPr>
          <w:color w:val="000000"/>
          <w:sz w:val="20"/>
          <w:szCs w:val="20"/>
        </w:rPr>
        <w:t xml:space="preserve"> and </w:t>
      </w:r>
      <w:r>
        <w:rPr>
          <w:b/>
          <w:bCs/>
          <w:color w:val="000000"/>
          <w:sz w:val="20"/>
          <w:szCs w:val="20"/>
        </w:rPr>
        <w:t xml:space="preserve">Seminole Electric </w:t>
      </w:r>
      <w:r>
        <w:rPr>
          <w:color w:val="000000"/>
          <w:sz w:val="20"/>
          <w:szCs w:val="20"/>
        </w:rPr>
        <w:t>a</w:t>
      </w:r>
      <w:r>
        <w:rPr>
          <w:sz w:val="20"/>
        </w:rPr>
        <w:t xml:space="preserve">re not sure what they want to do in the future. They want to see how the GridFlorida final market design is going to play out . Once the rules are written, they have said they would evaluate their options and would gladly sit down with Enron. It is important to note that all the market design issues are now related to the wholesale market and the transmission system. </w:t>
      </w:r>
    </w:p>
    <w:p>
      <w:pPr>
        <w:pStyle w:val="Normal"/>
        <w:autoSpaceDE w:val="false"/>
        <w:spacing w:lineRule="atLeast" w:line="240"/>
        <w:rPr>
          <w:color w:val="000000"/>
          <w:sz w:val="20"/>
          <w:szCs w:val="20"/>
        </w:rPr>
      </w:pPr>
      <w:r>
        <w:rPr>
          <w:color w:val="000000"/>
          <w:sz w:val="20"/>
          <w:szCs w:val="20"/>
        </w:rPr>
      </w:r>
    </w:p>
    <w:p>
      <w:pPr>
        <w:pStyle w:val="Heading8"/>
        <w:ind w:hanging="0" w:start="0"/>
        <w:rPr/>
      </w:pPr>
      <w:r>
        <w:rPr/>
        <w:t>Regulatory/Political Environment</w:t>
      </w:r>
    </w:p>
    <w:p>
      <w:pPr>
        <w:pStyle w:val="Normal"/>
        <w:autoSpaceDE w:val="false"/>
        <w:spacing w:lineRule="atLeast" w:line="240"/>
        <w:rPr>
          <w:color w:val="000000"/>
          <w:sz w:val="20"/>
          <w:szCs w:val="20"/>
        </w:rPr>
      </w:pPr>
      <w:r>
        <w:rPr>
          <w:color w:val="000000"/>
          <w:sz w:val="20"/>
          <w:szCs w:val="20"/>
        </w:rPr>
        <w:t>There will not be retail access in any form for at least five years.  There are no initiatives to speed up deregulation since the crisis emerged in CA.  Many in Florida want to hold on to what they have and do nothing for a few years to see how the entire nationwide energy problems are resolved.</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b/>
          <w:bCs/>
          <w:color w:val="000000"/>
          <w:sz w:val="20"/>
          <w:szCs w:val="20"/>
        </w:rPr>
      </w:pPr>
      <w:r>
        <w:rPr>
          <w:b/>
          <w:bCs/>
          <w:color w:val="000000"/>
          <w:sz w:val="20"/>
          <w:szCs w:val="20"/>
        </w:rPr>
        <w:t>Market</w:t>
      </w:r>
    </w:p>
    <w:p>
      <w:pPr>
        <w:pStyle w:val="Normal"/>
        <w:rPr>
          <w:color w:val="000000"/>
          <w:sz w:val="20"/>
          <w:szCs w:val="20"/>
        </w:rPr>
      </w:pPr>
      <w:r>
        <w:rPr>
          <w:color w:val="000000"/>
          <w:sz w:val="20"/>
          <w:szCs w:val="20"/>
        </w:rPr>
        <w:t>At the present time there is no real wholesale market. Very little trading is done.  We are presently drafting an improved market design that will include Physical Transmission Rights and the ability to utilize uncovered and unbalanced schedules. If this initiative is successful, we would expect a decent spot market and a forward market in Physical Transmission Rights. The time frame is one year.</w:t>
      </w:r>
      <w:r>
        <w:br w:type="page"/>
      </w:r>
    </w:p>
    <w:p>
      <w:pPr>
        <w:pStyle w:val="Body"/>
        <w:ind w:start="0" w:end="0"/>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Body"/>
        <w:ind w:start="0" w:end="0"/>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Body"/>
        <w:ind w:start="0" w:end="0"/>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Body"/>
        <w:ind w:start="0" w:end="0"/>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Body"/>
        <w:ind w:start="0" w:end="0"/>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Body"/>
        <w:ind w:start="0" w:end="0"/>
        <w:jc w:val="center"/>
        <w:rPr>
          <w:rFonts w:ascii="Times New Roman" w:hAnsi="Times New Roman" w:cs="Times New Roman"/>
          <w:b/>
          <w:bCs/>
          <w:color w:val="000000"/>
          <w:sz w:val="28"/>
          <w:u w:val="single"/>
        </w:rPr>
      </w:pPr>
      <w:r>
        <w:rPr>
          <w:rFonts w:cs="Times New Roman" w:ascii="Times New Roman" w:hAnsi="Times New Roman"/>
          <w:b/>
          <w:bCs/>
          <w:color w:val="000000"/>
          <w:sz w:val="28"/>
          <w:u w:val="single"/>
        </w:rPr>
        <w:t>ERCOT</w:t>
      </w:r>
    </w:p>
    <w:p>
      <w:pPr>
        <w:pStyle w:val="Body"/>
        <w:ind w:start="0" w:end="0"/>
        <w:jc w:val="center"/>
        <w:rPr>
          <w:rFonts w:ascii="Times New Roman" w:hAnsi="Times New Roman" w:cs="Times New Roman"/>
          <w:b/>
          <w:bCs/>
          <w:color w:val="000000"/>
          <w:sz w:val="28"/>
          <w:u w:val="single"/>
        </w:rPr>
      </w:pPr>
      <w:r>
        <w:rPr>
          <w:rFonts w:cs="Times New Roman" w:ascii="Times New Roman" w:hAnsi="Times New Roman"/>
          <w:b/>
          <w:bCs/>
          <w:color w:val="000000"/>
          <w:sz w:val="28"/>
          <w:u w:val="single"/>
        </w:rPr>
      </w:r>
    </w:p>
    <w:p>
      <w:pPr>
        <w:pStyle w:val="Body"/>
        <w:numPr>
          <w:ilvl w:val="0"/>
          <w:numId w:val="7"/>
        </w:numPr>
        <w:rPr>
          <w:rFonts w:ascii="Times New Roman" w:hAnsi="Times New Roman" w:cs="Times New Roman"/>
          <w:b/>
          <w:bCs/>
          <w:color w:val="000000"/>
          <w:u w:val="single"/>
        </w:rPr>
      </w:pPr>
      <w:r>
        <w:rPr>
          <w:rFonts w:cs="Times New Roman" w:ascii="Times New Roman" w:hAnsi="Times New Roman"/>
          <w:color w:val="000000"/>
        </w:rPr>
        <w:t>Texas</w:t>
      </w:r>
    </w:p>
    <w:p>
      <w:pPr>
        <w:pStyle w:val="Body"/>
        <w:numPr>
          <w:ilvl w:val="0"/>
          <w:numId w:val="3"/>
        </w:numPr>
        <w:rPr>
          <w:rFonts w:ascii="Times New Roman" w:hAnsi="Times New Roman" w:cs="Times New Roman"/>
          <w:b/>
          <w:bCs/>
          <w:color w:val="000000"/>
          <w:u w:val="single"/>
        </w:rPr>
      </w:pPr>
      <w:r>
        <w:rPr>
          <w:rFonts w:cs="Times New Roman" w:ascii="Times New Roman" w:hAnsi="Times New Roman"/>
          <w:color w:val="000000"/>
        </w:rPr>
        <w:t>Reliant</w:t>
      </w:r>
    </w:p>
    <w:p>
      <w:pPr>
        <w:pStyle w:val="Body"/>
        <w:ind w:start="144"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numPr>
          <w:ilvl w:val="0"/>
          <w:numId w:val="3"/>
        </w:numPr>
        <w:rPr>
          <w:rFonts w:ascii="Times New Roman" w:hAnsi="Times New Roman" w:cs="Times New Roman"/>
          <w:b/>
          <w:bCs/>
          <w:color w:val="000000"/>
          <w:u w:val="single"/>
        </w:rPr>
      </w:pPr>
      <w:r>
        <w:rPr>
          <w:rFonts w:cs="Times New Roman" w:ascii="Times New Roman" w:hAnsi="Times New Roman"/>
          <w:color w:val="000000"/>
        </w:rPr>
        <w:t>TXU</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numPr>
          <w:ilvl w:val="0"/>
          <w:numId w:val="3"/>
        </w:numPr>
        <w:rPr>
          <w:rFonts w:ascii="Times New Roman" w:hAnsi="Times New Roman" w:cs="Times New Roman"/>
          <w:b/>
          <w:bCs/>
          <w:color w:val="000000"/>
          <w:u w:val="single"/>
        </w:rPr>
      </w:pPr>
      <w:r>
        <w:rPr>
          <w:rFonts w:cs="Times New Roman" w:ascii="Times New Roman" w:hAnsi="Times New Roman"/>
          <w:color w:val="000000"/>
        </w:rPr>
        <w:t>CPL</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numPr>
          <w:ilvl w:val="0"/>
          <w:numId w:val="3"/>
        </w:numPr>
        <w:rPr>
          <w:rFonts w:ascii="Times New Roman" w:hAnsi="Times New Roman" w:cs="Times New Roman"/>
          <w:b/>
          <w:bCs/>
          <w:color w:val="000000"/>
          <w:u w:val="single"/>
        </w:rPr>
      </w:pPr>
      <w:r>
        <w:rPr>
          <w:rFonts w:cs="Times New Roman" w:ascii="Times New Roman" w:hAnsi="Times New Roman"/>
          <w:color w:val="000000"/>
        </w:rPr>
        <w:t>First Choice</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numPr>
          <w:ilvl w:val="0"/>
          <w:numId w:val="3"/>
        </w:numPr>
        <w:rPr>
          <w:rFonts w:ascii="Times New Roman" w:hAnsi="Times New Roman" w:cs="Times New Roman"/>
          <w:b/>
          <w:bCs/>
          <w:color w:val="000000"/>
          <w:u w:val="single"/>
        </w:rPr>
      </w:pPr>
      <w:r>
        <w:rPr>
          <w:rFonts w:cs="Times New Roman" w:ascii="Times New Roman" w:hAnsi="Times New Roman"/>
          <w:color w:val="000000"/>
        </w:rPr>
        <w:t>City of Austin</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numPr>
          <w:ilvl w:val="0"/>
          <w:numId w:val="3"/>
        </w:numPr>
        <w:rPr>
          <w:rFonts w:ascii="Times New Roman" w:hAnsi="Times New Roman" w:cs="Times New Roman"/>
          <w:color w:val="000000"/>
        </w:rPr>
      </w:pPr>
      <w:r>
        <w:rPr>
          <w:rFonts w:cs="Times New Roman" w:ascii="Times New Roman" w:hAnsi="Times New Roman"/>
          <w:color w:val="000000"/>
        </w:rPr>
        <w:t>City of San Antonio</w:t>
      </w:r>
      <w:r>
        <w:br w:type="page"/>
      </w:r>
    </w:p>
    <w:p>
      <w:pPr>
        <w:pStyle w:val="Body"/>
        <w:rPr>
          <w:rFonts w:ascii="Times New Roman" w:hAnsi="Times New Roman" w:cs="Times New Roman"/>
          <w:b/>
          <w:bCs/>
          <w:color w:val="000000"/>
          <w:sz w:val="24"/>
          <w:u w:val="single"/>
        </w:rPr>
      </w:pPr>
      <w:r>
        <w:rPr>
          <w:rFonts w:cs="Times New Roman" w:ascii="Times New Roman" w:hAnsi="Times New Roman"/>
          <w:b/>
          <w:bCs/>
          <w:color w:val="000000"/>
          <w:sz w:val="24"/>
          <w:u w:val="single"/>
        </w:rPr>
        <w:t>ERCOT</w:t>
      </w:r>
    </w:p>
    <w:p>
      <w:pPr>
        <w:pStyle w:val="Body"/>
        <w:ind w:start="0" w:end="0"/>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t>State Information</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numPr>
          <w:ilvl w:val="0"/>
          <w:numId w:val="10"/>
        </w:numPr>
        <w:rPr>
          <w:rFonts w:ascii="Times New Roman" w:hAnsi="Times New Roman" w:cs="Times New Roman"/>
          <w:b/>
          <w:bCs/>
          <w:color w:val="000000"/>
          <w:u w:val="single"/>
        </w:rPr>
      </w:pPr>
      <w:r>
        <w:rPr>
          <w:rFonts w:cs="Times New Roman" w:ascii="Times New Roman" w:hAnsi="Times New Roman"/>
          <w:b/>
          <w:bCs/>
          <w:color w:val="000000"/>
          <w:u w:val="single"/>
        </w:rPr>
        <w:t>TX</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Opportunities</w:t>
      </w:r>
    </w:p>
    <w:p>
      <w:pPr>
        <w:pStyle w:val="Body"/>
        <w:ind w:start="0" w:end="0"/>
        <w:rPr/>
      </w:pPr>
      <w:r>
        <w:rPr>
          <w:rFonts w:cs="Times New Roman" w:ascii="Times New Roman" w:hAnsi="Times New Roman"/>
          <w:color w:val="000000"/>
        </w:rPr>
        <w:t xml:space="preserve">There are potential opportunities with </w:t>
      </w:r>
      <w:r>
        <w:rPr>
          <w:rFonts w:cs="Times New Roman" w:ascii="Times New Roman" w:hAnsi="Times New Roman"/>
          <w:b/>
          <w:bCs/>
          <w:color w:val="000000"/>
        </w:rPr>
        <w:t>Reliant Energy, TXU Energy Svc., CPL (ERCOT), First Choice</w:t>
      </w:r>
      <w:r>
        <w:rPr>
          <w:rFonts w:cs="Times New Roman" w:ascii="Times New Roman" w:hAnsi="Times New Roman"/>
          <w:color w:val="000000"/>
        </w:rPr>
        <w:t xml:space="preserve"> and the two municipals of </w:t>
      </w:r>
      <w:r>
        <w:rPr>
          <w:rFonts w:cs="Times New Roman" w:ascii="Times New Roman" w:hAnsi="Times New Roman"/>
          <w:b/>
          <w:bCs/>
          <w:color w:val="000000"/>
        </w:rPr>
        <w:t>Austin Energy and San Antonio</w:t>
      </w:r>
      <w:r>
        <w:rPr>
          <w:rFonts w:cs="Times New Roman" w:ascii="Times New Roman" w:hAnsi="Times New Roman"/>
          <w:color w:val="000000"/>
        </w:rPr>
        <w:t xml:space="preserve">.  All ERCOT investor-owned utilities are required to exit the merchant function on January 1, 2002.  The catch is that the merchant function is assumed by their affiliate Retail Electric Provider (REP).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All municipals and cooperatives within the ERCOT power region have the ability to “opt-in” for customer choice any time after January 1, 2002.  If the municipality or cooperative does not “opt-in”, it may not offer electric energy at unregulated rates outside of its certificated retail service area.  Municipalities served by an entity offering customer choice may join other “political subdivisions” to aggregate electricity usage for their respective public facilities. </w:t>
        <w:tab/>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EES will function (and is currently certified) as a REP to serve customers behind all ERCOT IOU’s and customers behind municipalities and cooperatives who have decided to “opt-in” for customer choice. Several opportunities exist for EES to acquire customers without individual customer marketing.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First, Texas restructuring legislation requires the vertically integrated utilities to separate into a regulated and unregulated business.  It is not known whether any affiliated REP has the capability to provide unregulated services or that the affiliated REP has appropriate risk management capabilities to serve customers under their legislatively mandated merchant function obligations.  We may, therefore, have an opportunity to sleeve our products and services through an affiliate REP.</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Second, a Commission Rulemaking has established the preference of selecting unaffiliated REP’s to provide Provider Of Last Resort (POLR) services in particular service territories (i.e., TXU may serve as POLR in Reliant service territory).  POLR is a backstop to the affiliate REP’s price to beat.  Load uncertainty and credit issues may make this service less attractive to EES.</w:t>
        <w:br/>
      </w:r>
    </w:p>
    <w:p>
      <w:pPr>
        <w:pStyle w:val="Body"/>
        <w:ind w:start="0" w:end="0"/>
        <w:rPr>
          <w:rFonts w:ascii="Times New Roman" w:hAnsi="Times New Roman" w:cs="Times New Roman"/>
          <w:color w:val="000000"/>
        </w:rPr>
      </w:pPr>
      <w:r>
        <w:rPr>
          <w:rFonts w:cs="Times New Roman" w:ascii="Times New Roman" w:hAnsi="Times New Roman"/>
          <w:color w:val="000000"/>
        </w:rPr>
        <w:t xml:space="preserve">Third, municipalities and cooperatives seeking to “opt-in” for customer choice likely will not have the capabilities to provide unregulated services to customers within their certificated retail service area or for customers they seek to serve outside their retail service area.  Finally, a number of utilities will require risk management services to meet their merchant function obligations while retaining service to the end-use customer.  ENA is currently in negotiations to provide these upstream services for a privately owned Texas utility affiliated REP.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To take advantage of these opportunities, EES should initiate contact with the respective utility unregulated business decision maker to explore the options discussed above.  For POLR services, EES has submitted a “non-conforming” bid to the Commission and has the opportunity to further negotiate price and term with the Commission if necessary.  EES must have the necessary infrastructure in place to support the anticipated utility merchant function requirements.  EGA (through The New Power Company) has obtained the legal opinion that EES may serve customers on behalf of the affiliated REP.  However, it is not clear whether EES will be required to offer merchant function services at rates prescribed by legislation and comply with all Commission Rules related to merchant function service (i.e., customer protection rules, pricing, etc.). </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The timing of this project will be three to six months. Services for ERCOT affiliated REP’s must be negotiated and finalized by the market opening date of January 1, 2002 (or a reasonable period before market opening).  For municipalities and cooperatives, contact and negotiations should begin as soon as possible to assist them in evaluating their opportunities/risks in exercising their “opt-in” election, </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Significant price and volumetric risk is inherent for merchant function services offered by the affiliate REP and the municipalities and cooperatives that seek to “opt-in” for customer choice.  Without final pricing available for customers who “default” to the affiliated REP it is not known the extent of customers who will choose alternative REP’s prior to January 1, 2002 or will select alternative providers after the open-access date.  Because POLR service is not considered default service, volumetric risk is also significant.  The affiliated REP is required to offer merchant function services for all customers who do not choose an alternative REP at prices designated by the Commission for customers whose peak demand is less than 1,000kW.  For customers whose peak demand is greater than 1,000kW, the merchant function service price must be disclosed by June 1, 2001.  If the Commission does not receive suitable bids for POLR service it may designate the affiliate REP to offer the service at approved rates.  Enron is not aware of any risk mitigation measures that the affiliated REP may or may not have in place or the capabilities of the affiliate to manage that risk. </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Regulatory Environment</w:t>
      </w:r>
    </w:p>
    <w:p>
      <w:pPr>
        <w:pStyle w:val="Body"/>
        <w:ind w:start="0" w:end="0"/>
        <w:rPr>
          <w:rFonts w:ascii="Times New Roman" w:hAnsi="Times New Roman" w:cs="Times New Roman"/>
          <w:color w:val="000000"/>
        </w:rPr>
      </w:pPr>
      <w:r>
        <w:rPr>
          <w:rFonts w:cs="Times New Roman" w:ascii="Times New Roman" w:hAnsi="Times New Roman"/>
          <w:color w:val="000000"/>
        </w:rPr>
        <w:t>Texas has enacted comprehensive restructuring legislation and open-access will begin January 1, 2002.  IOU’s subject to commission jurisdiction are required to separate their vertically integrated utility business into a regulated delivery service company, an unregulated retail electric provider and an unregulated power generation company.  The legislation effectively eliminated the regulated utility from providing merchant function services and assigned the service to its affiliated REP.</w:t>
      </w:r>
    </w:p>
    <w:p>
      <w:pPr>
        <w:pStyle w:val="Body"/>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Legislation has been introduced in the 2001 session to delay open-access for certain non-ERCOT utilities who have demonstrated that under deregulation the price of electricity to customers is likely to rise.  This legislation affects one utility (Southwestern Public Service Company) and should have no effect on ERCOT IOU’s.</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With reference to gas, transportation of natural gas between intrastate pipelines and on behalf of “large volume” customers has been available in Texas for a number of years.  There is not a volumetric threshold but commercial and residential customers are effectively eliminated as to eligibility for open-access services.  Legislation to allow customer choice for natural gas will likely be introduced in the next Texas legislative session. </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Political Environment</w:t>
      </w:r>
    </w:p>
    <w:p>
      <w:pPr>
        <w:pStyle w:val="Body"/>
        <w:ind w:start="0" w:end="0"/>
        <w:rPr>
          <w:rFonts w:ascii="Times New Roman" w:hAnsi="Times New Roman" w:cs="Times New Roman"/>
          <w:color w:val="000000"/>
        </w:rPr>
      </w:pPr>
      <w:r>
        <w:rPr>
          <w:rFonts w:cs="Times New Roman" w:ascii="Times New Roman" w:hAnsi="Times New Roman"/>
          <w:color w:val="000000"/>
        </w:rPr>
        <w:t xml:space="preserve">The current Texas PUC appointed by Governor George W. Bush have generally made decisions to successfully open the Texas retail electric marketplace.  However, Commissioner Judy Walsh has resigned (currently the seat is vacant) and Chairman Pat Wood has accepted a Commissioner seat with the FERC (currently awaiting confirmation).  The remaining Commissioner Brett Pearlman has demonstrated support for the utility and their affiliates in a number of decisions and Commission Rulemakings.  Enron expects that the next appointments to the Commission will be strong advocates of market-based solutions and will likely continue to make decisions to best develop a competitive electric marketplace.    </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With the exception of the two largest utilities (Reliant and TXU), it is uncertain whether the remaining companies have the ability to understand and manage the risk inherent with the merchant function services required by law to be provided by their affiliated REP.  Both Reliant and TXU have indicated they have extensive wholesale market risk management capabilities and that they have built the necessary systems to support retail transactions.  An alliance or agreement with EES may effectively mitigate the risk of merchant function services and allow the affiliated REP’s to pursue business that better reflects their strengths and eliminate serving potentially unprofitable customers or customer groups.</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Texas restructuring legislation allows for adjustments to merchant function service prices based upon a formula that is tied to natural gas prices.  Affiliated REP’s have the ability to seek Commission relief if the provision of merchant function services results in economic hardship.  Elimination of price volatility and assurances of economic certainty will likely be supported by all stakeholders (if we can do a better job than the affiliated REP in meeting legislative objectives).</w:t>
      </w:r>
    </w:p>
    <w:p>
      <w:pPr>
        <w:pStyle w:val="Body"/>
        <w:ind w:hanging="720" w:start="144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Market</w:t>
      </w:r>
    </w:p>
    <w:p>
      <w:pPr>
        <w:pStyle w:val="Body"/>
        <w:ind w:start="0" w:end="0"/>
        <w:rPr>
          <w:rFonts w:ascii="Times New Roman" w:hAnsi="Times New Roman" w:cs="Times New Roman"/>
          <w:color w:val="000000"/>
        </w:rPr>
      </w:pPr>
      <w:r>
        <w:rPr>
          <w:rFonts w:cs="Times New Roman" w:ascii="Times New Roman" w:hAnsi="Times New Roman"/>
          <w:color w:val="000000"/>
        </w:rPr>
        <w:t>The ERCOT wholesale market and its rule rely primarily on bilateral contracts between the buyers and sellers of electricity as the main mechanism in the wholesale market.  There is no power exchange or a mechanism for a real-time market.  The rationale for the bilateral market is that participants have greater opportunities to insulate themselves from market volatility.  This rationale ignores financial instruments that can be available to hedge volatility.  The concerns of the bilateral market in ERCOT are price discovery and liquidity.  It seems likely that as the open date approaches, private exchanges will begin trading standard products in ERCOT.  Enron will advocate the ability to submit an unbalanced schedule to ERCOT that has support from the PUCT staff as another mechanism to boost an active energy market.</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The current ERCOT protocols do not provide for real time imbalance trading.  The ERCOT ISO is responsible for imbalance settlement.</w:t>
      </w:r>
    </w:p>
    <w:p>
      <w:pPr>
        <w:pStyle w:val="Body"/>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We can site generation if necessary. However, a person may not generate electricity unless the person is registered with the Commission as a power generation company.  A number of reliability and environmental standards prescribed by the Commission, TNRCC and the ERCOT ISO are required before a person may be certified as a power generation company.  Currently Enron is trying to establish a functional emission trading program and the relaxation of NOX standards.   </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Texas restructuring legislation requires that a power generation company not own more than 20% of installed capacity in any power region.  Currently it is not anticipated that market power will exist on the date of customer choice.  The commission and the ERCOT ISO have extensive reporting requirements to monitor market activity and the identification of existing and potential transmission and distribution constraints.  Each utility was required to file a “market power mitigation plan” with the Commission on December 1, 2000. </w:t>
        <w:tab/>
      </w:r>
    </w:p>
    <w:p>
      <w:pPr>
        <w:pStyle w:val="Body"/>
        <w:ind w:hanging="720" w:start="1440" w:end="0"/>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sz w:val="20"/>
        </w:rPr>
      </w:pPr>
      <w:r>
        <w:rPr>
          <w:rFonts w:cs="Times New Roman"/>
          <w:color w:val="000000"/>
          <w:sz w:val="20"/>
        </w:rPr>
      </w:r>
    </w:p>
    <w:p>
      <w:pPr>
        <w:pStyle w:val="Normal"/>
        <w:rPr>
          <w:sz w:val="20"/>
        </w:rPr>
      </w:pPr>
      <w:r>
        <w:rPr>
          <w:sz w:val="20"/>
        </w:rPr>
      </w:r>
    </w:p>
    <w:p>
      <w:pPr>
        <w:pStyle w:val="Body"/>
        <w:ind w:start="0" w:end="0"/>
        <w:rPr>
          <w:rFonts w:ascii="Times New Roman" w:hAnsi="Times New Roman" w:cs="Times New Roman"/>
          <w:color w:val="000000"/>
          <w:sz w:val="20"/>
        </w:rPr>
      </w:pPr>
      <w:r>
        <w:rPr>
          <w:rFonts w:cs="Times New Roman" w:ascii="Times New Roman" w:hAnsi="Times New Roman"/>
          <w:color w:val="000000"/>
          <w:sz w:val="20"/>
        </w:rPr>
      </w:r>
    </w:p>
    <w:p>
      <w:pPr>
        <w:pStyle w:val="Body"/>
        <w:rPr>
          <w:rFonts w:ascii="Times New Roman" w:hAnsi="Times New Roman" w:cs="Times New Roman"/>
          <w:color w:val="000000"/>
        </w:rPr>
      </w:pPr>
      <w:r>
        <w:rPr>
          <w:rFonts w:cs="Times New Roman" w:ascii="Times New Roman" w:hAnsi="Times New Roman"/>
          <w:color w:val="000000"/>
        </w:rPr>
      </w:r>
    </w:p>
    <w:p>
      <w:pPr>
        <w:pStyle w:val="Body"/>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sz w:val="20"/>
        </w:rPr>
      </w:pPr>
      <w:r>
        <w:rPr>
          <w:rFonts w:cs="Times New Roman"/>
          <w:color w:val="000000"/>
          <w:sz w:val="20"/>
        </w:rPr>
      </w:r>
      <w:r>
        <w:br w:type="page"/>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jc w:val="center"/>
        <w:rPr>
          <w:sz w:val="28"/>
          <w:u w:val="single"/>
        </w:rPr>
      </w:pPr>
      <w:r>
        <w:rPr>
          <w:sz w:val="28"/>
          <w:u w:val="single"/>
        </w:rPr>
        <w:t>MIDWEST</w:t>
      </w:r>
    </w:p>
    <w:p>
      <w:pPr>
        <w:pStyle w:val="Normal"/>
        <w:jc w:val="center"/>
        <w:rPr>
          <w:sz w:val="20"/>
          <w:u w:val="single"/>
        </w:rPr>
      </w:pPr>
      <w:r>
        <w:rPr>
          <w:sz w:val="20"/>
          <w:u w:val="single"/>
        </w:rPr>
      </w:r>
    </w:p>
    <w:p>
      <w:pPr>
        <w:pStyle w:val="Normal"/>
        <w:numPr>
          <w:ilvl w:val="0"/>
          <w:numId w:val="10"/>
        </w:numPr>
        <w:rPr>
          <w:b/>
          <w:bCs/>
          <w:color w:val="000000"/>
          <w:sz w:val="20"/>
          <w:szCs w:val="20"/>
          <w:u w:val="single"/>
        </w:rPr>
      </w:pPr>
      <w:r>
        <w:rPr>
          <w:sz w:val="20"/>
        </w:rPr>
        <w:t>Ohio</w:t>
      </w:r>
    </w:p>
    <w:p>
      <w:pPr>
        <w:pStyle w:val="Normal"/>
        <w:numPr>
          <w:ilvl w:val="0"/>
          <w:numId w:val="4"/>
        </w:numPr>
        <w:rPr>
          <w:b/>
          <w:bCs/>
          <w:color w:val="000000"/>
          <w:sz w:val="20"/>
          <w:szCs w:val="20"/>
          <w:u w:val="single"/>
        </w:rPr>
      </w:pPr>
      <w:r>
        <w:rPr>
          <w:color w:val="000000"/>
          <w:sz w:val="20"/>
          <w:szCs w:val="20"/>
        </w:rPr>
        <w:t>Dayton Power &amp; Light</w:t>
      </w:r>
    </w:p>
    <w:p>
      <w:pPr>
        <w:pStyle w:val="Normal"/>
        <w:numPr>
          <w:ilvl w:val="0"/>
          <w:numId w:val="4"/>
        </w:numPr>
        <w:rPr>
          <w:b/>
          <w:bCs/>
          <w:color w:val="000000"/>
          <w:sz w:val="20"/>
          <w:szCs w:val="20"/>
          <w:u w:val="single"/>
        </w:rPr>
      </w:pPr>
      <w:r>
        <w:rPr>
          <w:color w:val="000000"/>
          <w:sz w:val="20"/>
          <w:szCs w:val="20"/>
        </w:rPr>
        <w:t>City of Toledo</w:t>
      </w:r>
    </w:p>
    <w:p>
      <w:pPr>
        <w:pStyle w:val="Normal"/>
        <w:rPr>
          <w:b/>
          <w:bCs/>
          <w:color w:val="000000"/>
          <w:sz w:val="20"/>
          <w:szCs w:val="20"/>
          <w:u w:val="single"/>
        </w:rPr>
      </w:pPr>
      <w:r>
        <w:rPr>
          <w:b/>
          <w:bCs/>
          <w:color w:val="000000"/>
          <w:sz w:val="20"/>
          <w:szCs w:val="20"/>
          <w:u w:val="single"/>
        </w:rPr>
      </w:r>
    </w:p>
    <w:p>
      <w:pPr>
        <w:pStyle w:val="Normal"/>
        <w:numPr>
          <w:ilvl w:val="0"/>
          <w:numId w:val="10"/>
        </w:numPr>
        <w:rPr>
          <w:b/>
          <w:bCs/>
          <w:color w:val="000000"/>
          <w:sz w:val="20"/>
          <w:szCs w:val="20"/>
          <w:u w:val="single"/>
        </w:rPr>
      </w:pPr>
      <w:r>
        <w:rPr>
          <w:sz w:val="20"/>
        </w:rPr>
        <w:t>Tennessee</w:t>
      </w:r>
    </w:p>
    <w:p>
      <w:pPr>
        <w:pStyle w:val="Normal"/>
        <w:numPr>
          <w:ilvl w:val="0"/>
          <w:numId w:val="4"/>
        </w:numPr>
        <w:rPr>
          <w:b/>
          <w:bCs/>
          <w:color w:val="000000"/>
          <w:sz w:val="20"/>
          <w:szCs w:val="20"/>
          <w:u w:val="single"/>
        </w:rPr>
      </w:pPr>
      <w:r>
        <w:rPr>
          <w:color w:val="000000"/>
          <w:sz w:val="20"/>
          <w:szCs w:val="20"/>
        </w:rPr>
        <w:t>TVA Member Co-Ops</w:t>
      </w:r>
      <w:r>
        <w:br w:type="page"/>
      </w:r>
    </w:p>
    <w:p>
      <w:pPr>
        <w:pStyle w:val="Normal"/>
        <w:rPr>
          <w:b/>
          <w:bCs/>
          <w:color w:val="000000"/>
          <w:szCs w:val="20"/>
          <w:u w:val="single"/>
        </w:rPr>
      </w:pPr>
      <w:r>
        <w:rPr>
          <w:b/>
          <w:bCs/>
          <w:u w:val="single"/>
        </w:rPr>
        <w:t>MIDWEST</w:t>
      </w:r>
    </w:p>
    <w:p>
      <w:pPr>
        <w:pStyle w:val="Heading4"/>
        <w:ind w:hanging="0" w:start="0"/>
        <w:rPr>
          <w:rFonts w:ascii="Times New Roman" w:hAnsi="Times New Roman" w:cs="Times New Roman"/>
          <w:b/>
          <w:bCs/>
          <w:color w:val="000000"/>
          <w:szCs w:val="20"/>
          <w:u w:val="single"/>
        </w:rPr>
      </w:pPr>
      <w:r>
        <w:rPr>
          <w:rFonts w:cs="Times New Roman" w:ascii="Times New Roman" w:hAnsi="Times New Roman"/>
          <w:b/>
          <w:bCs/>
          <w:color w:val="000000"/>
          <w:szCs w:val="20"/>
          <w:u w:val="single"/>
        </w:rPr>
      </w:r>
    </w:p>
    <w:p>
      <w:pPr>
        <w:pStyle w:val="Heading4"/>
        <w:ind w:hanging="0" w:start="0"/>
        <w:rPr>
          <w:rFonts w:ascii="Times New Roman" w:hAnsi="Times New Roman" w:cs="Times New Roman"/>
          <w:b/>
          <w:bCs/>
        </w:rPr>
      </w:pPr>
      <w:r>
        <w:rPr>
          <w:rFonts w:cs="Times New Roman" w:ascii="Times New Roman" w:hAnsi="Times New Roman"/>
          <w:b/>
          <w:bCs/>
        </w:rPr>
        <w:t>Regional Overview</w:t>
      </w:r>
    </w:p>
    <w:p>
      <w:pPr>
        <w:pStyle w:val="Normal"/>
        <w:keepLines/>
        <w:autoSpaceDE w:val="false"/>
        <w:spacing w:lineRule="atLeast" w:line="240"/>
        <w:rPr>
          <w:color w:val="000000"/>
          <w:sz w:val="20"/>
          <w:szCs w:val="20"/>
        </w:rPr>
      </w:pPr>
      <w:r>
        <w:rPr>
          <w:color w:val="000000"/>
          <w:sz w:val="20"/>
          <w:szCs w:val="20"/>
        </w:rPr>
        <w:t xml:space="preserve">The Midwest Region covers 18 states - MI, OH, IN, WV, KY, TN, IL, WI, MN, MO, KS, ND, SD, IO, NE, AR, LA and MS.  Of these states Ohio is fully open, Illinois is open for C&amp;I with residential opening in May, 2002 , Michigan opens 1/1/02, and WV opens approximately 7/1/02.  Arkansas has pushed back to 2003.  Missouri may pass a limited industrial buy-through bill.  No other states are active - part of the backlash from California.  </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color w:val="000000"/>
          <w:sz w:val="20"/>
          <w:szCs w:val="20"/>
        </w:rPr>
      </w:pPr>
      <w:r>
        <w:rPr>
          <w:color w:val="000000"/>
          <w:sz w:val="20"/>
          <w:szCs w:val="20"/>
        </w:rPr>
        <w:t>These states fall largely in the MAIN, MAPP and ECAR regions (with a few states in SPP - Kansas, Arkansas and half of Missouri).  The Midwest does not have a single RTO although a settlement has been reached for a  "Virtual Single RTO" which Enron is opposing.  The biggest obstacle to doing transactions is that we do not have a real time hourly market to trade in.  Nor do we have our own generation that we can rely on for load-following.  Consequently, when we do a transaction, we are at risk for any imbalances that may arise.  These imbalances are usually settled based upon the utility's incremental cost of procuring power during the hour of the imbalance.  Unlike in a more liquid market or a pool, Enron does not have the opportunity to manage its imbalances by procuring power from a group of suppliers in the market.  Rather, we are at the mercy of the utility who has no incentive to obtain the lowest cost power available to meet the excess demand.  Given this scenario, there has been a reluctance on the part of both ENA and EES to do physical deals.</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color w:val="000000"/>
          <w:sz w:val="20"/>
          <w:szCs w:val="20"/>
        </w:rPr>
      </w:pPr>
      <w:r>
        <w:rPr>
          <w:color w:val="000000"/>
          <w:sz w:val="20"/>
          <w:szCs w:val="20"/>
        </w:rPr>
        <w:t xml:space="preserve">Until this problem is fixed, the only mechanism for Enron to do deals in the Midwest in which we are the default service provider may be to partner with another entity which has generation or in the longer-term, if we construct generation in strategic locations in the Midwest.  </w:t>
      </w:r>
    </w:p>
    <w:p>
      <w:pPr>
        <w:pStyle w:val="Normal"/>
        <w:keepLines/>
        <w:autoSpaceDE w:val="false"/>
        <w:spacing w:lineRule="atLeast" w:line="240"/>
        <w:rPr>
          <w:color w:val="000000"/>
          <w:sz w:val="20"/>
          <w:szCs w:val="20"/>
        </w:rPr>
      </w:pPr>
      <w:r>
        <w:rPr>
          <w:color w:val="000000"/>
          <w:sz w:val="20"/>
          <w:szCs w:val="20"/>
        </w:rPr>
      </w:r>
    </w:p>
    <w:p>
      <w:pPr>
        <w:pStyle w:val="Heading5"/>
        <w:keepLines/>
        <w:autoSpaceDE w:val="false"/>
        <w:spacing w:lineRule="atLeast" w:line="240"/>
        <w:ind w:hanging="0" w:start="0"/>
        <w:rPr>
          <w:b/>
          <w:bCs/>
        </w:rPr>
      </w:pPr>
      <w:r>
        <w:rPr>
          <w:b/>
          <w:bCs/>
        </w:rPr>
        <w:t>State Information</w:t>
      </w:r>
    </w:p>
    <w:p>
      <w:pPr>
        <w:pStyle w:val="Normal"/>
        <w:rPr>
          <w:b/>
          <w:bCs/>
        </w:rPr>
      </w:pPr>
      <w:r>
        <w:rPr>
          <w:b/>
          <w:bCs/>
        </w:rPr>
      </w:r>
    </w:p>
    <w:p>
      <w:pPr>
        <w:pStyle w:val="Heading1"/>
        <w:numPr>
          <w:ilvl w:val="0"/>
          <w:numId w:val="10"/>
        </w:numPr>
        <w:rPr>
          <w:b/>
          <w:bCs/>
          <w:sz w:val="20"/>
        </w:rPr>
      </w:pPr>
      <w:r>
        <w:rPr>
          <w:b/>
          <w:bCs/>
          <w:sz w:val="20"/>
        </w:rPr>
        <w:t>OH</w:t>
      </w:r>
    </w:p>
    <w:p>
      <w:pPr>
        <w:pStyle w:val="Normal"/>
        <w:rPr>
          <w:b/>
          <w:bCs/>
          <w:sz w:val="20"/>
        </w:rPr>
      </w:pPr>
      <w:r>
        <w:rPr>
          <w:b/>
          <w:bCs/>
          <w:sz w:val="20"/>
        </w:rPr>
      </w:r>
    </w:p>
    <w:p>
      <w:pPr>
        <w:pStyle w:val="BodyText2"/>
        <w:rPr/>
      </w:pPr>
      <w:r>
        <w:rPr>
          <w:rFonts w:cs="Times New Roman" w:ascii="Times New Roman" w:hAnsi="Times New Roman"/>
        </w:rPr>
        <w:t xml:space="preserve">The specific opportunities in Ohio revolve around municipal aggregation, default service provider possibilities, customer aggregation and aggregation of Percentage of Income Payment Plan.  In addition, there is an opportunity with </w:t>
      </w:r>
      <w:r>
        <w:rPr>
          <w:rFonts w:cs="Times New Roman" w:ascii="Times New Roman" w:hAnsi="Times New Roman"/>
          <w:b/>
          <w:bCs/>
        </w:rPr>
        <w:t>Dayton Power &amp; Light</w:t>
      </w:r>
      <w:r>
        <w:rPr>
          <w:rFonts w:cs="Times New Roman" w:ascii="Times New Roman" w:hAnsi="Times New Roman"/>
        </w:rPr>
        <w:t>.</w:t>
      </w:r>
    </w:p>
    <w:p>
      <w:pPr>
        <w:pStyle w:val="Normal"/>
        <w:rPr>
          <w:rFonts w:ascii="Times New Roman" w:hAnsi="Times New Roman" w:cs="Times New Roman"/>
          <w:sz w:val="20"/>
        </w:rPr>
      </w:pPr>
      <w:r>
        <w:rPr>
          <w:rFonts w:cs="Times New Roman"/>
          <w:sz w:val="20"/>
        </w:rPr>
      </w:r>
    </w:p>
    <w:p>
      <w:pPr>
        <w:pStyle w:val="BodyTextIndent"/>
        <w:ind w:start="0" w:end="0"/>
        <w:rPr/>
      </w:pPr>
      <w:r>
        <w:rPr>
          <w:i/>
          <w:iCs/>
        </w:rPr>
        <w:t xml:space="preserve">Municipal Aggregation </w:t>
      </w:r>
      <w:r>
        <w:rPr/>
        <w:t xml:space="preserve">- Ohio has an opt-out program.  The </w:t>
      </w:r>
      <w:r>
        <w:rPr>
          <w:b/>
          <w:bCs/>
        </w:rPr>
        <w:t>City of Toledo</w:t>
      </w:r>
      <w:r>
        <w:rPr/>
        <w:t xml:space="preserve"> passed an opt-out ordinance, went to bid and got no responses (low shopping credit and limited Market Support Generation were bidders’ concerns).  Other opportunities where the shopping credit for residential customers is high (approximately $.0512/kwh) are the </w:t>
      </w:r>
      <w:r>
        <w:rPr>
          <w:b/>
          <w:bCs/>
        </w:rPr>
        <w:t>Cities of Gahanna and Upper Arlington</w:t>
      </w:r>
      <w:r>
        <w:rPr/>
        <w:t xml:space="preserve"> - both suburbs of Columbus, (AEP Service territory).  In order to pursue these municipal opportunities, Enron would need to consider partnering.</w:t>
      </w:r>
    </w:p>
    <w:p>
      <w:pPr>
        <w:pStyle w:val="BodyTextIndent"/>
        <w:ind w:start="0" w:end="0"/>
        <w:rPr/>
      </w:pPr>
      <w:r>
        <w:rPr/>
      </w:r>
    </w:p>
    <w:p>
      <w:pPr>
        <w:pStyle w:val="BodyTextIndent"/>
        <w:ind w:start="0" w:end="0"/>
        <w:rPr/>
      </w:pPr>
      <w:r>
        <w:rPr/>
        <w:t xml:space="preserve">Possible partners include </w:t>
      </w:r>
      <w:r>
        <w:rPr>
          <w:b/>
          <w:bCs/>
        </w:rPr>
        <w:t>Amp-Ohio, Cinergy and Allegheny Energy Services</w:t>
      </w:r>
      <w:r>
        <w:rPr/>
        <w:t xml:space="preserve">.  </w:t>
      </w:r>
    </w:p>
    <w:p>
      <w:pPr>
        <w:pStyle w:val="BodyTextIndent"/>
        <w:ind w:start="0" w:end="0"/>
        <w:rPr/>
      </w:pPr>
      <w:r>
        <w:rPr/>
      </w:r>
    </w:p>
    <w:p>
      <w:pPr>
        <w:pStyle w:val="BodyTextIndent"/>
        <w:ind w:start="0" w:end="0"/>
        <w:rPr/>
      </w:pPr>
      <w:r>
        <w:rPr/>
        <w:t xml:space="preserve">Amp-Ohio did express an interest in pursuing a partnership with Enron under which we would manage their assets.  Oscar Dalton in ENA had some discussions with Amp-Ohio and should be contacted if this angle is pursued.  </w:t>
      </w:r>
    </w:p>
    <w:p>
      <w:pPr>
        <w:pStyle w:val="BodyTextIndent"/>
        <w:ind w:start="0" w:end="0"/>
        <w:rPr/>
      </w:pPr>
      <w:r>
        <w:rPr/>
      </w:r>
    </w:p>
    <w:p>
      <w:pPr>
        <w:pStyle w:val="BodyTextIndent"/>
        <w:ind w:start="0" w:end="0"/>
        <w:rPr/>
      </w:pPr>
      <w:r>
        <w:rPr/>
        <w:t xml:space="preserve">Cinergy has formed an Exempt Wholesale Generator (EWG) with its generation assets.  Its competitive entity, Cinergy Services has limited certification to aggregate but not supply customers.  They view themselves as being in the wholesale market but not the retail one.  The CEO, Jim Rogers, came from Enron.  Enron Government Affairs has worked with the president, Jim Turner, in the past.  Cinergy may be interested in doing some deals given the recent discussion between it and PSEG. </w:t>
      </w:r>
    </w:p>
    <w:p>
      <w:pPr>
        <w:pStyle w:val="BodyTextIndent"/>
        <w:ind w:start="0" w:end="0"/>
        <w:rPr/>
      </w:pPr>
      <w:r>
        <w:rPr/>
      </w:r>
    </w:p>
    <w:p>
      <w:pPr>
        <w:pStyle w:val="BodyTextIndent"/>
        <w:ind w:start="0" w:end="0"/>
        <w:rPr/>
      </w:pPr>
      <w:r>
        <w:rPr/>
        <w:t xml:space="preserve">Allegheny Energy Services has a small presence in Ohio with approximately 13,000 customers at the eastern edge.  It has also been the successful bidder for the municipal aggregation of the </w:t>
      </w:r>
      <w:r>
        <w:rPr>
          <w:b/>
          <w:bCs/>
        </w:rPr>
        <w:t>City of Parma</w:t>
      </w:r>
      <w:r>
        <w:rPr/>
        <w:t xml:space="preserve"> in First Energy service territory.  Enron has a good relationship with Allegheny who is purchasing our West Fork Plant and also from interaction on deregulation in WV and Ohio. Unless they are feeling constrained from a resource standpoint or for some other reasons, they may however not see a great benefit in partnering with Enron.</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pPr>
      <w:r>
        <w:rPr>
          <w:i/>
          <w:iCs/>
          <w:color w:val="000000"/>
          <w:sz w:val="20"/>
          <w:szCs w:val="20"/>
        </w:rPr>
        <w:t>Default Service Provider for Dayton Power and Light and Monongahela Power</w:t>
      </w:r>
      <w:r>
        <w:rPr>
          <w:color w:val="000000"/>
          <w:sz w:val="20"/>
          <w:szCs w:val="20"/>
        </w:rPr>
        <w:t xml:space="preserve"> - Under Ohio law, at the end of the Market Development period which is Dec. 31, 2003 for DPL and Mon Power and Dec. 31, 2005 for Cinergy, First Energy and AEP, the utility must offer its customers the option of purchasing competitive retail service through a competitive bid.  While not a near term opportunity, we should keep this on our radar screen.  Hopefully, when these opportunities hit, we will have some of the wholesale market issues solved.  See Sec. 4928.14 ORC. </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pPr>
      <w:r>
        <w:rPr>
          <w:i/>
          <w:iCs/>
          <w:color w:val="000000"/>
          <w:sz w:val="20"/>
          <w:szCs w:val="20"/>
        </w:rPr>
        <w:t>Customer Aggregation Groups</w:t>
      </w:r>
      <w:r>
        <w:rPr>
          <w:color w:val="000000"/>
          <w:sz w:val="20"/>
          <w:szCs w:val="20"/>
        </w:rPr>
        <w:t xml:space="preserve"> - There are a number of customer organizations in Ohio such as the retail merchants who are interested in being the aggregator for their members.  If structured properly so that the retail merchants have the authority to negotiate on behalf of their members, this could provide a means for Enron to pick up many customers with limited need to individually market customers.    </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pPr>
      <w:r>
        <w:rPr>
          <w:i/>
          <w:iCs/>
          <w:color w:val="000000"/>
          <w:sz w:val="20"/>
          <w:szCs w:val="20"/>
        </w:rPr>
        <w:t>Aggregation of Percentage of Income Payment Plan (PIPP) Customers</w:t>
      </w:r>
      <w:r>
        <w:rPr>
          <w:color w:val="000000"/>
          <w:sz w:val="20"/>
          <w:szCs w:val="20"/>
        </w:rPr>
        <w:t xml:space="preserve"> - Under the Ohio Statute, all low-income customers who participate in the PIPP program must be aggregated and competitively bid.  The bids should be issued some time this year and will be handled through the Department of Development.  The same potential partners discussed above come to mind.  </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pPr>
      <w:r>
        <w:rPr>
          <w:b/>
          <w:bCs/>
          <w:color w:val="000000"/>
          <w:sz w:val="20"/>
          <w:szCs w:val="20"/>
        </w:rPr>
        <w:t xml:space="preserve">Dayton Power and Light </w:t>
      </w:r>
      <w:r>
        <w:rPr>
          <w:color w:val="000000"/>
          <w:sz w:val="20"/>
          <w:szCs w:val="20"/>
        </w:rPr>
        <w:t>(DPL) recently sold its gas business to Vectren.  There have been rumors that while on the one hand DPL prides itself in its customer relationships, on the other hand it wants to sell off its distribution business and be a generation only company.  DPL views the construction and operation of generation as its core strength having been rated among the top companies in the nation for equivalent availability of its units.  There may be an opportunity for some kind of co-branding deal in which they outsource the default supplier function and provide us with load following.</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jc w:val="center"/>
        <w:rPr>
          <w:color w:val="000000"/>
          <w:sz w:val="20"/>
          <w:szCs w:val="20"/>
        </w:rPr>
      </w:pPr>
      <w:r>
        <w:rPr>
          <w:color w:val="000000"/>
          <w:sz w:val="20"/>
          <w:szCs w:val="20"/>
        </w:rPr>
        <w:t>***</w:t>
      </w:r>
    </w:p>
    <w:p>
      <w:pPr>
        <w:pStyle w:val="Normal"/>
        <w:keepLines/>
        <w:autoSpaceDE w:val="false"/>
        <w:spacing w:lineRule="atLeast" w:line="240"/>
        <w:rPr>
          <w:color w:val="000000"/>
          <w:sz w:val="20"/>
          <w:szCs w:val="20"/>
        </w:rPr>
      </w:pPr>
      <w:r>
        <w:rPr>
          <w:color w:val="000000"/>
          <w:sz w:val="20"/>
          <w:szCs w:val="20"/>
        </w:rPr>
      </w:r>
    </w:p>
    <w:p>
      <w:pPr>
        <w:pStyle w:val="Heading3"/>
        <w:numPr>
          <w:ilvl w:val="0"/>
          <w:numId w:val="10"/>
        </w:numPr>
        <w:rPr>
          <w:sz w:val="20"/>
        </w:rPr>
      </w:pPr>
      <w:r>
        <w:rPr>
          <w:sz w:val="20"/>
        </w:rPr>
        <w:t>TN</w:t>
      </w:r>
    </w:p>
    <w:p>
      <w:pPr>
        <w:pStyle w:val="Normal"/>
        <w:rPr>
          <w:sz w:val="20"/>
        </w:rPr>
      </w:pPr>
      <w:r>
        <w:rPr>
          <w:sz w:val="20"/>
        </w:rPr>
      </w:r>
    </w:p>
    <w:p>
      <w:pPr>
        <w:pStyle w:val="Heading1"/>
        <w:ind w:hanging="0" w:start="0"/>
        <w:rPr>
          <w:b/>
          <w:bCs/>
          <w:sz w:val="20"/>
          <w:u w:val="none"/>
        </w:rPr>
      </w:pPr>
      <w:r>
        <w:rPr>
          <w:b/>
          <w:bCs/>
          <w:sz w:val="20"/>
          <w:u w:val="none"/>
        </w:rPr>
        <w:t>Opportunities</w:t>
      </w:r>
    </w:p>
    <w:p>
      <w:pPr>
        <w:pStyle w:val="Normal"/>
        <w:rPr/>
      </w:pPr>
      <w:r>
        <w:rPr>
          <w:sz w:val="20"/>
        </w:rPr>
        <w:t xml:space="preserve">Enron may have opportunities to capitalize on </w:t>
      </w:r>
      <w:r>
        <w:rPr>
          <w:b/>
          <w:bCs/>
          <w:sz w:val="20"/>
        </w:rPr>
        <w:t xml:space="preserve">TVA member coops and municipal utilities </w:t>
      </w:r>
      <w:r>
        <w:rPr>
          <w:sz w:val="20"/>
        </w:rPr>
        <w:t>who seek to</w:t>
      </w:r>
      <w:r>
        <w:rPr>
          <w:b/>
          <w:bCs/>
          <w:sz w:val="20"/>
        </w:rPr>
        <w:t xml:space="preserve"> </w:t>
      </w:r>
      <w:r>
        <w:rPr>
          <w:sz w:val="20"/>
        </w:rPr>
        <w:t xml:space="preserve">change the way they do business through energy service deals. </w:t>
      </w:r>
    </w:p>
    <w:p>
      <w:pPr>
        <w:pStyle w:val="Normal"/>
        <w:rPr>
          <w:sz w:val="20"/>
        </w:rPr>
      </w:pPr>
      <w:r>
        <w:rPr>
          <w:sz w:val="20"/>
        </w:rPr>
      </w:r>
    </w:p>
    <w:p>
      <w:pPr>
        <w:pStyle w:val="BodyText2"/>
        <w:rPr>
          <w:rFonts w:ascii="Times New Roman" w:hAnsi="Times New Roman" w:cs="Times New Roman"/>
        </w:rPr>
      </w:pPr>
      <w:r>
        <w:rPr>
          <w:rFonts w:cs="Times New Roman" w:ascii="Times New Roman" w:hAnsi="Times New Roman"/>
        </w:rPr>
        <w:t>Various TVA member coops and municipal utilities have expressed discontent with TVA’s regulation over their business and their existing long-term supply contracts: enough so that the TVA Public Power Association, TVA and other stakeholders negotiated an agreement on how TVA should be restructured.  The cities of Knoxville and Memphis have even expressed their discontent with status quo before Congress.  Since Congress is not expected to act anytime soon on a TVA restructuring, member coops and municipal utilities must maintain existing supply contracts.</w:t>
      </w:r>
    </w:p>
    <w:p>
      <w:pPr>
        <w:pStyle w:val="Normal"/>
        <w:rPr>
          <w:rFonts w:ascii="Times New Roman" w:hAnsi="Times New Roman" w:cs="Times New Roman"/>
          <w:sz w:val="20"/>
        </w:rPr>
      </w:pPr>
      <w:r>
        <w:rPr>
          <w:rFonts w:cs="Times New Roman"/>
          <w:sz w:val="20"/>
        </w:rPr>
      </w:r>
    </w:p>
    <w:p>
      <w:pPr>
        <w:pStyle w:val="Normal"/>
        <w:rPr>
          <w:sz w:val="20"/>
        </w:rPr>
      </w:pPr>
      <w:r>
        <w:rPr>
          <w:sz w:val="20"/>
        </w:rPr>
        <w:t xml:space="preserve">We are currently analyzing TVA’s member roster that includes sizable utilities in Nashville, Memphis, Knoxville and other cities, to look for potential targets.  Memphis, for instance, purchases 11% of TVA’s load and is TVA’s largest customer.  </w:t>
      </w:r>
    </w:p>
    <w:p>
      <w:pPr>
        <w:pStyle w:val="Normal"/>
        <w:rPr>
          <w:sz w:val="20"/>
        </w:rPr>
      </w:pPr>
      <w:r>
        <w:rPr>
          <w:sz w:val="20"/>
        </w:rPr>
      </w:r>
    </w:p>
    <w:p>
      <w:pPr>
        <w:pStyle w:val="Normal"/>
        <w:rPr>
          <w:sz w:val="20"/>
        </w:rPr>
      </w:pPr>
      <w:r>
        <w:rPr>
          <w:sz w:val="20"/>
        </w:rPr>
        <w:t>Enron’s initial approach to the TVA area could be winning the RFP with Nashville’s metro government to replace a trash burning power plant with a cogen facility that would provide steam and chilled water to 39 buildings in downtown Nashville.  An energy services contract for those 39 buildings could be the second step.  From there we could progress to Nashville Electric Service, a TVA distributor.</w:t>
      </w:r>
    </w:p>
    <w:p>
      <w:pPr>
        <w:pStyle w:val="Normal"/>
        <w:rPr/>
      </w:pPr>
      <w:r>
        <w:rPr>
          <w:sz w:val="20"/>
        </w:rPr>
        <w:t xml:space="preserve">Another opportunity lies with </w:t>
      </w:r>
      <w:r>
        <w:rPr>
          <w:b/>
          <w:bCs/>
          <w:sz w:val="20"/>
        </w:rPr>
        <w:t>Nashville Electric Service (NES)</w:t>
      </w:r>
      <w:r>
        <w:rPr>
          <w:sz w:val="20"/>
        </w:rPr>
        <w:t>. Nashville’s metro government has issued an RFP to replace the Nashville Thermal Transfer Plant with a facility that can continue providing steam and chilled water to 39 downtown buildings.  These buildings include privately owned as well as government owned office buildings.</w:t>
      </w:r>
    </w:p>
    <w:p>
      <w:pPr>
        <w:pStyle w:val="Normal"/>
        <w:rPr>
          <w:sz w:val="20"/>
        </w:rPr>
      </w:pPr>
      <w:r>
        <w:rPr>
          <w:sz w:val="20"/>
        </w:rPr>
      </w:r>
    </w:p>
    <w:p>
      <w:pPr>
        <w:pStyle w:val="Normal"/>
        <w:rPr/>
      </w:pPr>
      <w:r>
        <w:rPr>
          <w:sz w:val="20"/>
        </w:rPr>
        <w:t>Reponses to the initial phase of the RFP are due April 23</w:t>
      </w:r>
      <w:r>
        <w:rPr>
          <w:sz w:val="20"/>
          <w:vertAlign w:val="superscript"/>
        </w:rPr>
        <w:t>rd</w:t>
      </w:r>
      <w:r>
        <w:rPr>
          <w:sz w:val="20"/>
        </w:rPr>
        <w:t>.  Nashville has not established a date for the release of the second phase.</w:t>
      </w:r>
    </w:p>
    <w:p>
      <w:pPr>
        <w:pStyle w:val="Normal"/>
        <w:rPr>
          <w:sz w:val="20"/>
        </w:rPr>
      </w:pPr>
      <w:r>
        <w:rPr>
          <w:sz w:val="20"/>
        </w:rPr>
      </w:r>
    </w:p>
    <w:p>
      <w:pPr>
        <w:pStyle w:val="Normal"/>
        <w:rPr>
          <w:sz w:val="20"/>
        </w:rPr>
      </w:pPr>
      <w:r>
        <w:rPr>
          <w:sz w:val="20"/>
        </w:rPr>
        <w:t>Enron’s initial approach to the deal would be to provide cogen facilities and an energy services program for the buildings.  The energy services could extend out to other buildings not supplied through the steam/chilled water facility.  Enron could also consider building more capacity than needed and selling to TVA.</w:t>
      </w:r>
    </w:p>
    <w:p>
      <w:pPr>
        <w:pStyle w:val="Normal"/>
        <w:rPr>
          <w:sz w:val="20"/>
        </w:rPr>
      </w:pPr>
      <w:r>
        <w:rPr>
          <w:sz w:val="20"/>
        </w:rPr>
      </w:r>
    </w:p>
    <w:p>
      <w:pPr>
        <w:pStyle w:val="Normal"/>
        <w:rPr>
          <w:sz w:val="20"/>
        </w:rPr>
      </w:pPr>
      <w:r>
        <w:rPr>
          <w:sz w:val="20"/>
        </w:rPr>
        <w:t>The metro government will select the winning contractor.  The contract will have to be approved by the metro government.  Therefore, our regulatory/political concern will be the local government and metro council.  The council has already expressed concern about the cost of the facility and additional solid waste management costs once they are no longer burning their waste.</w:t>
      </w:r>
    </w:p>
    <w:p>
      <w:pPr>
        <w:pStyle w:val="Normal"/>
        <w:rPr>
          <w:sz w:val="20"/>
        </w:rPr>
      </w:pPr>
      <w:r>
        <w:rPr>
          <w:sz w:val="20"/>
        </w:rPr>
      </w:r>
    </w:p>
    <w:p>
      <w:pPr>
        <w:pStyle w:val="Normal"/>
        <w:rPr>
          <w:sz w:val="20"/>
        </w:rPr>
      </w:pPr>
      <w:r>
        <w:rPr>
          <w:sz w:val="20"/>
        </w:rPr>
        <w:t>Jay West, with Wyatt, Tarrant and Combs, could be our local point person on the project.  Up until 2 years ago he had spent over ten years as vice-mayor and a city council member.  Along with other partners in the firm, he has tremendous local relationships that could prove very valuable.</w:t>
      </w:r>
    </w:p>
    <w:p>
      <w:pPr>
        <w:pStyle w:val="Normal"/>
        <w:rPr>
          <w:sz w:val="20"/>
        </w:rPr>
      </w:pPr>
      <w:r>
        <w:rPr>
          <w:sz w:val="20"/>
        </w:rPr>
      </w:r>
    </w:p>
    <w:p>
      <w:pPr>
        <w:pStyle w:val="BodyText2"/>
        <w:rPr>
          <w:rFonts w:ascii="Times New Roman" w:hAnsi="Times New Roman" w:cs="Times New Roman"/>
        </w:rPr>
      </w:pPr>
      <w:r>
        <w:rPr>
          <w:rFonts w:cs="Times New Roman" w:ascii="Times New Roman" w:hAnsi="Times New Roman"/>
        </w:rPr>
        <w:t xml:space="preserve">The rest of Nashville’s power needs are provided for by the NES.  NES is one of the 10 largest public power utilities in the country. It has over 300,000 customers and its’ average rate is 6.4 cents/kWh.  NES has not expressed an interest in exiting the merchant function.  The state of Tennessee has not opened retail electricity and natural gas markets to competition, nor do they expect to do so anytime soon.  NES buys wholesale power from TVA through a long-term contact.  </w:t>
      </w:r>
    </w:p>
    <w:p>
      <w:pPr>
        <w:pStyle w:val="Normal"/>
        <w:rPr>
          <w:rFonts w:ascii="Times New Roman" w:hAnsi="Times New Roman" w:cs="Times New Roman"/>
          <w:sz w:val="20"/>
        </w:rPr>
      </w:pPr>
      <w:r>
        <w:rPr>
          <w:rFonts w:cs="Times New Roman"/>
          <w:sz w:val="20"/>
        </w:rPr>
      </w:r>
    </w:p>
    <w:p>
      <w:pPr>
        <w:pStyle w:val="Normal"/>
        <w:rPr>
          <w:sz w:val="20"/>
        </w:rPr>
      </w:pPr>
      <w:r>
        <w:rPr>
          <w:sz w:val="20"/>
        </w:rPr>
        <w:t>Any deal with NES likely would involve TVA in some way, shape or form.  Given the resolution of the MOPA case with TVA, now may be a better time for Enron to approach TVA, through NES, for a deal.</w:t>
      </w:r>
    </w:p>
    <w:p>
      <w:pPr>
        <w:pStyle w:val="Normal"/>
        <w:rPr>
          <w:sz w:val="20"/>
        </w:rPr>
      </w:pPr>
      <w:r>
        <w:rPr>
          <w:sz w:val="20"/>
        </w:rPr>
      </w:r>
    </w:p>
    <w:p>
      <w:pPr>
        <w:pStyle w:val="Heading9"/>
        <w:ind w:hanging="0" w:start="0"/>
        <w:rPr/>
      </w:pPr>
      <w:r>
        <w:rPr/>
        <w:t>Regulatory Environment</w:t>
      </w:r>
    </w:p>
    <w:p>
      <w:pPr>
        <w:pStyle w:val="Normal"/>
        <w:rPr>
          <w:sz w:val="20"/>
        </w:rPr>
      </w:pPr>
      <w:r>
        <w:rPr>
          <w:sz w:val="20"/>
        </w:rPr>
        <w:t>Tennessee does not plan to open retail electricity and natural gas markets to competition anytime soon.  Since Tennessee enjoys relatively low rates and other states’ prospects for lower rates through retail competition look dim at the current time, we do not see the regulatory/policy environment changing any time soon.</w:t>
      </w:r>
    </w:p>
    <w:p>
      <w:pPr>
        <w:pStyle w:val="Normal"/>
        <w:rPr>
          <w:sz w:val="20"/>
        </w:rPr>
      </w:pPr>
      <w:r>
        <w:rPr>
          <w:sz w:val="20"/>
        </w:rPr>
      </w:r>
    </w:p>
    <w:p>
      <w:pPr>
        <w:pStyle w:val="Normal"/>
        <w:rPr>
          <w:b/>
          <w:bCs/>
          <w:sz w:val="20"/>
        </w:rPr>
      </w:pPr>
      <w:r>
        <w:rPr>
          <w:b/>
          <w:bCs/>
          <w:sz w:val="20"/>
        </w:rPr>
        <w:t>Political Environment</w:t>
      </w:r>
    </w:p>
    <w:p>
      <w:pPr>
        <w:pStyle w:val="Normal"/>
        <w:rPr>
          <w:sz w:val="20"/>
        </w:rPr>
      </w:pPr>
      <w:r>
        <w:rPr>
          <w:sz w:val="20"/>
        </w:rPr>
        <w:t>Enron retains two law firms in Tennessee that are able to assist us in working with other cities as well as the TVPPA and TVA if need be.  At least one of the firms has very good connections within the metro government, the city of Memphis and TVA itself.</w:t>
      </w:r>
    </w:p>
    <w:p>
      <w:pPr>
        <w:pStyle w:val="Normal"/>
        <w:rPr>
          <w:sz w:val="20"/>
        </w:rPr>
      </w:pPr>
      <w:r>
        <w:rPr>
          <w:sz w:val="20"/>
        </w:rPr>
      </w:r>
    </w:p>
    <w:p>
      <w:pPr>
        <w:pStyle w:val="BodyText2"/>
        <w:rPr>
          <w:rFonts w:ascii="Times New Roman" w:hAnsi="Times New Roman" w:cs="Times New Roman"/>
        </w:rPr>
      </w:pPr>
      <w:r>
        <w:rPr>
          <w:rFonts w:cs="Times New Roman" w:ascii="Times New Roman" w:hAnsi="Times New Roman"/>
        </w:rPr>
        <w:t xml:space="preserve">Our regulatory/political concern lies in building relationships with the munis and coops and likely in providing some value to TVA.  </w:t>
      </w:r>
    </w:p>
    <w:p>
      <w:pPr>
        <w:pStyle w:val="Normal"/>
        <w:rPr>
          <w:rFonts w:ascii="Times New Roman" w:hAnsi="Times New Roman" w:cs="Times New Roman"/>
          <w:sz w:val="20"/>
        </w:rPr>
      </w:pPr>
      <w:r>
        <w:rPr>
          <w:rFonts w:cs="Times New Roman"/>
          <w:sz w:val="20"/>
        </w:rPr>
      </w:r>
    </w:p>
    <w:p>
      <w:pPr>
        <w:pStyle w:val="Normal"/>
        <w:rPr>
          <w:b/>
          <w:bCs/>
          <w:sz w:val="20"/>
        </w:rPr>
      </w:pPr>
      <w:r>
        <w:rPr>
          <w:b/>
          <w:bCs/>
          <w:sz w:val="20"/>
        </w:rPr>
      </w:r>
      <w:r>
        <w:br w:type="page"/>
      </w:r>
    </w:p>
    <w:p>
      <w:pPr>
        <w:pStyle w:val="Heading5"/>
        <w:ind w:hanging="0" w:start="0"/>
        <w:rPr>
          <w:b/>
          <w:bCs/>
          <w:sz w:val="20"/>
        </w:rPr>
      </w:pPr>
      <w:r>
        <w:rPr>
          <w:b/>
          <w:bCs/>
          <w:sz w:val="20"/>
        </w:rPr>
      </w:r>
    </w:p>
    <w:p>
      <w:pPr>
        <w:pStyle w:val="Heading5"/>
        <w:ind w:hanging="0" w:start="0"/>
        <w:rPr/>
      </w:pPr>
      <w:r>
        <w:rPr/>
      </w:r>
    </w:p>
    <w:p>
      <w:pPr>
        <w:pStyle w:val="Heading5"/>
        <w:ind w:hanging="0" w:start="0"/>
        <w:rPr/>
      </w:pPr>
      <w:r>
        <w:rPr/>
      </w:r>
    </w:p>
    <w:p>
      <w:pPr>
        <w:pStyle w:val="Heading5"/>
        <w:ind w:hanging="0" w:start="0"/>
        <w:rPr/>
      </w:pPr>
      <w:r>
        <w:rPr/>
      </w:r>
    </w:p>
    <w:p>
      <w:pPr>
        <w:pStyle w:val="Heading5"/>
        <w:ind w:hanging="0" w:start="0"/>
        <w:rPr/>
      </w:pPr>
      <w:r>
        <w:rPr/>
      </w:r>
    </w:p>
    <w:p>
      <w:pPr>
        <w:pStyle w:val="Heading5"/>
        <w:ind w:hanging="0" w:start="0"/>
        <w:jc w:val="center"/>
        <w:rPr>
          <w:b/>
          <w:bCs/>
          <w:sz w:val="28"/>
        </w:rPr>
      </w:pPr>
      <w:r>
        <w:rPr>
          <w:b/>
          <w:bCs/>
          <w:sz w:val="28"/>
        </w:rPr>
        <w:t>WEST</w:t>
      </w:r>
    </w:p>
    <w:p>
      <w:pPr>
        <w:pStyle w:val="Heading5"/>
        <w:ind w:hanging="0" w:start="0"/>
        <w:jc w:val="center"/>
        <w:rPr>
          <w:b/>
          <w:bCs/>
          <w:sz w:val="28"/>
        </w:rPr>
      </w:pPr>
      <w:r>
        <w:rPr>
          <w:b/>
          <w:bCs/>
          <w:sz w:val="28"/>
        </w:rPr>
      </w:r>
    </w:p>
    <w:p>
      <w:pPr>
        <w:pStyle w:val="Heading5"/>
        <w:ind w:hanging="0" w:start="0"/>
        <w:jc w:val="center"/>
        <w:rPr>
          <w:b/>
          <w:bCs/>
        </w:rPr>
      </w:pPr>
      <w:r>
        <w:rPr>
          <w:b/>
          <w:bCs/>
        </w:rPr>
      </w:r>
    </w:p>
    <w:p>
      <w:pPr>
        <w:pStyle w:val="Heading5"/>
        <w:numPr>
          <w:ilvl w:val="0"/>
          <w:numId w:val="10"/>
        </w:numPr>
        <w:rPr>
          <w:u w:val="none"/>
        </w:rPr>
      </w:pPr>
      <w:r>
        <w:rPr>
          <w:u w:val="none"/>
        </w:rPr>
        <w:t>Washington</w:t>
      </w:r>
    </w:p>
    <w:p>
      <w:pPr>
        <w:pStyle w:val="Normal"/>
        <w:numPr>
          <w:ilvl w:val="0"/>
          <w:numId w:val="4"/>
        </w:numPr>
        <w:rPr>
          <w:sz w:val="20"/>
        </w:rPr>
      </w:pPr>
      <w:r>
        <w:rPr>
          <w:sz w:val="20"/>
        </w:rPr>
        <w:t>Puget Sound Energy</w:t>
      </w:r>
    </w:p>
    <w:p>
      <w:pPr>
        <w:pStyle w:val="Normal"/>
        <w:numPr>
          <w:ilvl w:val="0"/>
          <w:numId w:val="4"/>
        </w:numPr>
        <w:rPr>
          <w:sz w:val="20"/>
        </w:rPr>
      </w:pPr>
      <w:r>
        <w:rPr>
          <w:sz w:val="20"/>
        </w:rPr>
        <w:t>City of Tacoma</w:t>
      </w:r>
    </w:p>
    <w:p>
      <w:pPr>
        <w:pStyle w:val="Normal"/>
        <w:rPr>
          <w:sz w:val="20"/>
        </w:rPr>
      </w:pPr>
      <w:r>
        <w:rPr>
          <w:sz w:val="20"/>
        </w:rPr>
      </w:r>
    </w:p>
    <w:p>
      <w:pPr>
        <w:pStyle w:val="Heading5"/>
        <w:numPr>
          <w:ilvl w:val="0"/>
          <w:numId w:val="10"/>
        </w:numPr>
        <w:rPr>
          <w:u w:val="none"/>
        </w:rPr>
      </w:pPr>
      <w:r>
        <w:rPr>
          <w:u w:val="none"/>
        </w:rPr>
        <w:t>Arizona</w:t>
      </w:r>
    </w:p>
    <w:p>
      <w:pPr>
        <w:pStyle w:val="Normal"/>
        <w:numPr>
          <w:ilvl w:val="0"/>
          <w:numId w:val="9"/>
        </w:numPr>
        <w:rPr>
          <w:sz w:val="20"/>
        </w:rPr>
      </w:pPr>
      <w:r>
        <w:rPr>
          <w:sz w:val="20"/>
        </w:rPr>
        <w:t>Tucson Electric</w:t>
      </w:r>
    </w:p>
    <w:p>
      <w:pPr>
        <w:pStyle w:val="Normal"/>
        <w:numPr>
          <w:ilvl w:val="0"/>
          <w:numId w:val="9"/>
        </w:numPr>
        <w:rPr>
          <w:sz w:val="20"/>
        </w:rPr>
      </w:pPr>
      <w:r>
        <w:rPr>
          <w:sz w:val="20"/>
        </w:rPr>
        <w:t>Citizens Utility</w:t>
      </w:r>
    </w:p>
    <w:p>
      <w:pPr>
        <w:pStyle w:val="Normal"/>
        <w:rPr>
          <w:sz w:val="20"/>
        </w:rPr>
      </w:pPr>
      <w:r>
        <w:rPr>
          <w:sz w:val="20"/>
        </w:rPr>
      </w:r>
    </w:p>
    <w:p>
      <w:pPr>
        <w:pStyle w:val="Heading5"/>
        <w:numPr>
          <w:ilvl w:val="0"/>
          <w:numId w:val="10"/>
        </w:numPr>
        <w:rPr>
          <w:u w:val="none"/>
        </w:rPr>
      </w:pPr>
      <w:r>
        <w:rPr>
          <w:u w:val="none"/>
        </w:rPr>
        <w:t>Montana</w:t>
      </w:r>
    </w:p>
    <w:p>
      <w:pPr>
        <w:pStyle w:val="Normal"/>
        <w:numPr>
          <w:ilvl w:val="0"/>
          <w:numId w:val="11"/>
        </w:numPr>
        <w:rPr>
          <w:sz w:val="20"/>
        </w:rPr>
      </w:pPr>
      <w:r>
        <w:rPr>
          <w:sz w:val="20"/>
        </w:rPr>
        <w:t>Montana Power Company</w:t>
      </w:r>
    </w:p>
    <w:p>
      <w:pPr>
        <w:pStyle w:val="Normal"/>
        <w:rPr>
          <w:sz w:val="20"/>
        </w:rPr>
      </w:pPr>
      <w:r>
        <w:rPr>
          <w:sz w:val="20"/>
        </w:rPr>
      </w:r>
    </w:p>
    <w:p>
      <w:pPr>
        <w:pStyle w:val="Heading5"/>
        <w:numPr>
          <w:ilvl w:val="0"/>
          <w:numId w:val="10"/>
        </w:numPr>
        <w:rPr>
          <w:u w:val="none"/>
        </w:rPr>
      </w:pPr>
      <w:r>
        <w:rPr>
          <w:u w:val="none"/>
        </w:rPr>
        <w:t>Nevada</w:t>
      </w:r>
    </w:p>
    <w:p>
      <w:pPr>
        <w:pStyle w:val="Normal"/>
        <w:numPr>
          <w:ilvl w:val="0"/>
          <w:numId w:val="11"/>
        </w:numPr>
        <w:rPr>
          <w:sz w:val="20"/>
        </w:rPr>
      </w:pPr>
      <w:r>
        <w:rPr>
          <w:sz w:val="20"/>
        </w:rPr>
        <w:t>Montana Power Company</w:t>
      </w:r>
    </w:p>
    <w:p>
      <w:pPr>
        <w:pStyle w:val="Normal"/>
        <w:numPr>
          <w:ilvl w:val="0"/>
          <w:numId w:val="11"/>
        </w:numPr>
        <w:rPr>
          <w:sz w:val="20"/>
        </w:rPr>
      </w:pPr>
      <w:r>
        <w:rPr>
          <w:sz w:val="20"/>
        </w:rPr>
        <w:t>Sierra Pacific Power Company</w:t>
      </w:r>
    </w:p>
    <w:p>
      <w:pPr>
        <w:pStyle w:val="Normal"/>
        <w:rPr>
          <w:sz w:val="20"/>
        </w:rPr>
      </w:pPr>
      <w:r>
        <w:rPr>
          <w:sz w:val="20"/>
        </w:rPr>
      </w:r>
    </w:p>
    <w:p>
      <w:pPr>
        <w:pStyle w:val="Heading5"/>
        <w:numPr>
          <w:ilvl w:val="0"/>
          <w:numId w:val="10"/>
        </w:numPr>
        <w:rPr>
          <w:u w:val="none"/>
        </w:rPr>
      </w:pPr>
      <w:r>
        <w:rPr>
          <w:u w:val="none"/>
        </w:rPr>
        <w:t>New Mexico</w:t>
      </w:r>
    </w:p>
    <w:p>
      <w:pPr>
        <w:pStyle w:val="Normal"/>
        <w:numPr>
          <w:ilvl w:val="0"/>
          <w:numId w:val="11"/>
        </w:numPr>
        <w:rPr>
          <w:sz w:val="20"/>
        </w:rPr>
      </w:pPr>
      <w:r>
        <w:rPr>
          <w:sz w:val="20"/>
        </w:rPr>
        <w:t>Southwestern Public Service</w:t>
      </w:r>
    </w:p>
    <w:p>
      <w:pPr>
        <w:pStyle w:val="Normal"/>
        <w:rPr>
          <w:sz w:val="20"/>
        </w:rPr>
      </w:pPr>
      <w:r>
        <w:rPr>
          <w:sz w:val="20"/>
        </w:rPr>
      </w:r>
    </w:p>
    <w:p>
      <w:pPr>
        <w:pStyle w:val="Heading5"/>
        <w:numPr>
          <w:ilvl w:val="0"/>
          <w:numId w:val="10"/>
        </w:numPr>
        <w:rPr>
          <w:u w:val="none"/>
        </w:rPr>
      </w:pPr>
      <w:r>
        <w:rPr>
          <w:u w:val="none"/>
        </w:rPr>
        <w:t>Oregon</w:t>
      </w:r>
    </w:p>
    <w:p>
      <w:pPr>
        <w:pStyle w:val="Normal"/>
        <w:numPr>
          <w:ilvl w:val="0"/>
          <w:numId w:val="11"/>
        </w:numPr>
        <w:rPr>
          <w:sz w:val="20"/>
        </w:rPr>
      </w:pPr>
      <w:r>
        <w:rPr>
          <w:sz w:val="20"/>
        </w:rPr>
        <w:t>Portland General Electric</w:t>
      </w:r>
    </w:p>
    <w:p>
      <w:pPr>
        <w:pStyle w:val="Normal"/>
        <w:rPr>
          <w:sz w:val="20"/>
        </w:rPr>
      </w:pPr>
      <w:r>
        <w:rPr>
          <w:sz w:val="20"/>
        </w:rPr>
      </w:r>
    </w:p>
    <w:p>
      <w:pPr>
        <w:pStyle w:val="Heading5"/>
        <w:numPr>
          <w:ilvl w:val="0"/>
          <w:numId w:val="10"/>
        </w:numPr>
        <w:rPr>
          <w:b/>
          <w:bCs/>
        </w:rPr>
      </w:pPr>
      <w:r>
        <w:rPr>
          <w:u w:val="none"/>
        </w:rPr>
        <w:t>Wyoming</w:t>
      </w:r>
    </w:p>
    <w:p>
      <w:pPr>
        <w:pStyle w:val="Normal"/>
        <w:numPr>
          <w:ilvl w:val="0"/>
          <w:numId w:val="11"/>
        </w:numPr>
        <w:rPr>
          <w:sz w:val="20"/>
        </w:rPr>
      </w:pPr>
      <w:r>
        <w:rPr>
          <w:sz w:val="20"/>
        </w:rPr>
        <w:t>Cheyenne Light &amp; Power</w:t>
      </w:r>
      <w:r>
        <w:br w:type="page"/>
      </w:r>
    </w:p>
    <w:p>
      <w:pPr>
        <w:pStyle w:val="Heading5"/>
        <w:numPr>
          <w:ilvl w:val="0"/>
          <w:numId w:val="10"/>
        </w:numPr>
        <w:rPr>
          <w:b/>
          <w:bCs/>
          <w:sz w:val="24"/>
        </w:rPr>
      </w:pPr>
      <w:r>
        <w:rPr>
          <w:b/>
          <w:bCs/>
          <w:sz w:val="24"/>
        </w:rPr>
        <w:t>WEST</w:t>
      </w:r>
    </w:p>
    <w:p>
      <w:pPr>
        <w:pStyle w:val="Heading5"/>
        <w:ind w:hanging="0" w:start="0"/>
        <w:rPr>
          <w:b/>
          <w:bCs/>
          <w:sz w:val="24"/>
        </w:rPr>
      </w:pPr>
      <w:r>
        <w:rPr>
          <w:b/>
          <w:bCs/>
          <w:sz w:val="24"/>
        </w:rPr>
      </w:r>
    </w:p>
    <w:p>
      <w:pPr>
        <w:pStyle w:val="Heading5"/>
        <w:numPr>
          <w:ilvl w:val="0"/>
          <w:numId w:val="10"/>
        </w:numPr>
        <w:rPr>
          <w:b/>
          <w:bCs/>
        </w:rPr>
      </w:pPr>
      <w:r>
        <w:rPr>
          <w:b/>
          <w:bCs/>
        </w:rPr>
        <w:t>WA</w:t>
      </w:r>
    </w:p>
    <w:p>
      <w:pPr>
        <w:pStyle w:val="Normal"/>
        <w:rPr>
          <w:b/>
          <w:bCs/>
          <w:color w:val="000000"/>
          <w:sz w:val="20"/>
        </w:rPr>
      </w:pPr>
      <w:r>
        <w:rPr>
          <w:b/>
          <w:bCs/>
          <w:color w:val="000000"/>
          <w:sz w:val="20"/>
        </w:rPr>
      </w:r>
    </w:p>
    <w:p>
      <w:pPr>
        <w:pStyle w:val="Heading2"/>
        <w:ind w:hanging="0" w:start="0"/>
        <w:rPr>
          <w:rFonts w:ascii="Times New Roman" w:hAnsi="Times New Roman" w:cs="Times New Roman"/>
          <w:sz w:val="20"/>
        </w:rPr>
      </w:pPr>
      <w:r>
        <w:rPr>
          <w:rFonts w:cs="Times New Roman" w:ascii="Times New Roman" w:hAnsi="Times New Roman"/>
          <w:sz w:val="20"/>
        </w:rPr>
        <w:t>Opportunity</w:t>
      </w:r>
    </w:p>
    <w:p>
      <w:pPr>
        <w:pStyle w:val="Body"/>
        <w:ind w:start="0" w:end="0"/>
        <w:rPr/>
      </w:pPr>
      <w:r>
        <w:rPr>
          <w:rFonts w:cs="Times New Roman" w:ascii="Times New Roman" w:hAnsi="Times New Roman"/>
          <w:color w:val="000000"/>
        </w:rPr>
        <w:t xml:space="preserve">The best IOU candidate is </w:t>
      </w:r>
      <w:r>
        <w:rPr>
          <w:rFonts w:cs="Times New Roman" w:ascii="Times New Roman" w:hAnsi="Times New Roman"/>
          <w:b/>
          <w:bCs/>
          <w:color w:val="000000"/>
        </w:rPr>
        <w:t>Puget Sound Energy</w:t>
      </w:r>
      <w:r>
        <w:rPr>
          <w:rFonts w:cs="Times New Roman" w:ascii="Times New Roman" w:hAnsi="Times New Roman"/>
          <w:color w:val="000000"/>
        </w:rPr>
        <w:t>.  Puget is an electric and gas utility which is interested in getting out of the merchant function.  They recently negotiated Schedule 448 and 449 which collectively require the customer to leave traditional cost-of-service rates.  Further, in the past they have outsourced some of the power-supply functions to Duke.  Finally, they do not have an automatic adjustment mechanism.    As with Tacoma, EES will have to sleeve any power sold to the customer through the utility, but should be able to sell non-utility services directly to customer.  Next steps for this project would be additional rate analysis, load shape analysis, etc., then a meeting with Puget. Timing would be for a Fall 2001 implementation.</w:t>
      </w:r>
    </w:p>
    <w:p>
      <w:pPr>
        <w:pStyle w:val="Normal"/>
        <w:rPr>
          <w:rFonts w:ascii="Times New Roman" w:hAnsi="Times New Roman" w:cs="Times New Roman"/>
          <w:color w:val="000000"/>
        </w:rPr>
      </w:pPr>
      <w:r>
        <w:rPr>
          <w:rFonts w:cs="Times New Roman"/>
          <w:color w:val="000000"/>
        </w:rPr>
      </w:r>
    </w:p>
    <w:p>
      <w:pPr>
        <w:pStyle w:val="Normal"/>
        <w:rPr>
          <w:sz w:val="20"/>
        </w:rPr>
      </w:pPr>
      <w:r>
        <w:rPr>
          <w:sz w:val="20"/>
        </w:rPr>
        <w:t xml:space="preserve">Large portions of the state are served by municipals, cooperatives, and “Public Utility Districts.”  Most of these publicly owned utilities are customers of the Bonneville Power Administration.  BPA is facing a substantial rate increase and has declared a power emergency allowing them to hold water behind the dams (i.e., stop flushing fish downriver).   It is conceivable, but unlikely, that there will be EES opportunities among the publics.  BPA has had a parent/child relationship with most publics for years, who also have an odd independence streak.  </w:t>
      </w:r>
    </w:p>
    <w:p>
      <w:pPr>
        <w:pStyle w:val="Normal"/>
        <w:rPr>
          <w:sz w:val="20"/>
        </w:rPr>
      </w:pPr>
      <w:r>
        <w:rPr>
          <w:sz w:val="20"/>
        </w:rPr>
      </w:r>
    </w:p>
    <w:p>
      <w:pPr>
        <w:pStyle w:val="Normal"/>
        <w:rPr/>
      </w:pPr>
      <w:r>
        <w:rPr>
          <w:sz w:val="20"/>
        </w:rPr>
        <w:t xml:space="preserve">The best public power candidate at the moment is the </w:t>
      </w:r>
      <w:r>
        <w:rPr>
          <w:b/>
          <w:bCs/>
          <w:sz w:val="20"/>
        </w:rPr>
        <w:t>City of Tacoma</w:t>
      </w:r>
      <w:r>
        <w:rPr>
          <w:sz w:val="20"/>
        </w:rPr>
        <w:t xml:space="preserve">.  Tacoma is probably not seeking to exit the merchant function voluntarily, however, they have recently been forced to increase rates substantially to cover a net short position and are continually in the process of addressing their resource needs over the long-term.  </w:t>
      </w:r>
      <w:r>
        <w:rPr>
          <w:color w:val="000000"/>
          <w:sz w:val="20"/>
        </w:rPr>
        <w:t xml:space="preserve">EES will have to sleeve any power sold to the customer through the utility, but should be able to sell non-utility services directly to customers.  Note that Tacoma allows its customers to access the market through the utility and several (e.g., Elf Atochem, Boise Cascade) have taken advantage of the program in the past.  Co-branding with Tacoma may be a good possibility.  </w:t>
      </w:r>
    </w:p>
    <w:p>
      <w:pPr>
        <w:pStyle w:val="Body"/>
        <w:ind w:start="0" w:end="0"/>
        <w:rPr>
          <w:rFonts w:ascii="Times New Roman" w:hAnsi="Times New Roman" w:cs="Times New Roman"/>
          <w:color w:val="000000"/>
          <w:sz w:val="20"/>
        </w:rPr>
      </w:pPr>
      <w:r>
        <w:rPr>
          <w:rFonts w:cs="Times New Roman" w:ascii="Times New Roman" w:hAnsi="Times New Roman"/>
          <w:color w:val="000000"/>
          <w:sz w:val="20"/>
        </w:rPr>
      </w:r>
    </w:p>
    <w:p>
      <w:pPr>
        <w:pStyle w:val="Body"/>
        <w:ind w:start="0" w:end="0"/>
        <w:rPr>
          <w:rFonts w:ascii="Times New Roman" w:hAnsi="Times New Roman" w:cs="Times New Roman"/>
          <w:color w:val="000000"/>
        </w:rPr>
      </w:pPr>
      <w:r>
        <w:rPr>
          <w:rFonts w:cs="Times New Roman" w:ascii="Times New Roman" w:hAnsi="Times New Roman"/>
          <w:color w:val="000000"/>
        </w:rPr>
        <w:t>Tacoma is strongly supportive of its industrial base and will do whatever is reasonable so long as it doesn’t injure residential customers. There may be some public disclosure requirements, but Tacoma is self-governing and self-directing.</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The starting point for this project would be an initial meeting with Mark Crisson, the head of Tacoma Public Utilities and the head of the electric department.  Crisson is well respected in the Pacific Northwest and in many circles as a clear thinker.  The timeline for this would be Fall, 2001 for initial implementation.</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Regulatory Environment</w:t>
      </w:r>
    </w:p>
    <w:p>
      <w:pPr>
        <w:pStyle w:val="Body"/>
        <w:ind w:start="0" w:end="0"/>
        <w:rPr>
          <w:rFonts w:ascii="Times New Roman" w:hAnsi="Times New Roman" w:cs="Times New Roman"/>
          <w:color w:val="000000"/>
        </w:rPr>
      </w:pPr>
      <w:r>
        <w:rPr>
          <w:rFonts w:cs="Times New Roman" w:ascii="Times New Roman" w:hAnsi="Times New Roman"/>
          <w:color w:val="000000"/>
        </w:rPr>
        <w:t>Washington State has no restructuring statute in place. It generally enjoys low rates and  approximately 65% of the state is served by public power.  Having said that individual instances of open access can be expected.  Some public utilities give their customers access to the market through the sleeved transactions.  In addition, Puget Sound Energy recently filed (and the WUTC recently approved) a customer choice tariff for PSE’s largest customers.</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Four gas utilities serve Washington state (and one or two municipal utilities as well):  Cascade Natural Gas, Avista Utilities, Northwest Natural Gas Company, and Puget Sound Energy (formerly Washington Natural Gas Company).  All of these utilities have transportation-only tariffs for large customers.  Further, there are substantial opportunities for bypass pipelines.</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Political Environment</w:t>
      </w:r>
    </w:p>
    <w:p>
      <w:pPr>
        <w:pStyle w:val="Body"/>
        <w:ind w:start="0" w:end="0"/>
        <w:rPr>
          <w:rFonts w:ascii="Times New Roman" w:hAnsi="Times New Roman" w:cs="Times New Roman"/>
          <w:color w:val="000000"/>
        </w:rPr>
      </w:pPr>
      <w:r>
        <w:rPr>
          <w:rFonts w:cs="Times New Roman" w:ascii="Times New Roman" w:hAnsi="Times New Roman"/>
          <w:color w:val="000000"/>
        </w:rPr>
        <w:t xml:space="preserve">While the WUTC has been a strong pro-competition advocate in telecom, they are populist and left leaning when it comes to gas and electric competition.  [Note, however, that Tacoma is not regulated by the WUTC.]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Puget is a regulated utility and a project with them will likely require some form of WUTC review.  Outsourcing, however, could enable them to reduce risk and avoid further regulatory interactions and potential earnings review.  Additionally, we should note that Puget is an extraordinarily difficult utility that is known for “cutting off its nose to spite its face.”   </w:t>
      </w:r>
    </w:p>
    <w:p>
      <w:pPr>
        <w:pStyle w:val="Body"/>
        <w:ind w:start="0" w:end="0"/>
        <w:rPr>
          <w:rFonts w:ascii="Times New Roman" w:hAnsi="Times New Roman" w:cs="Times New Roman"/>
          <w:color w:val="000000"/>
          <w:u w:val="single"/>
        </w:rPr>
      </w:pPr>
      <w:r>
        <w:rPr>
          <w:rFonts w:cs="Times New Roman" w:ascii="Times New Roman" w:hAnsi="Times New Roman"/>
          <w:color w:val="000000"/>
          <w:u w:val="single"/>
        </w:rPr>
      </w:r>
    </w:p>
    <w:p>
      <w:pPr>
        <w:pStyle w:val="Body"/>
        <w:ind w:start="0" w:end="0"/>
        <w:rPr>
          <w:rFonts w:ascii="Times New Roman" w:hAnsi="Times New Roman" w:cs="Times New Roman"/>
          <w:color w:val="000000"/>
          <w:u w:val="single"/>
        </w:rPr>
      </w:pPr>
      <w:r>
        <w:rPr>
          <w:rFonts w:cs="Times New Roman" w:ascii="Times New Roman" w:hAnsi="Times New Roman"/>
          <w:b/>
          <w:bCs/>
          <w:color w:val="000000"/>
        </w:rPr>
        <w:t>Market</w:t>
      </w:r>
    </w:p>
    <w:p>
      <w:pPr>
        <w:pStyle w:val="Body"/>
        <w:ind w:start="0" w:end="0"/>
        <w:rPr>
          <w:rFonts w:ascii="Times New Roman" w:hAnsi="Times New Roman" w:cs="Times New Roman"/>
          <w:color w:val="000000"/>
        </w:rPr>
      </w:pPr>
      <w:r>
        <w:rPr>
          <w:rFonts w:cs="Times New Roman" w:ascii="Times New Roman" w:hAnsi="Times New Roman"/>
          <w:color w:val="000000"/>
        </w:rPr>
        <w:t xml:space="preserve">The relevant wholesale market is the WSCC.  Tacoma has its own resource base including hydro.  We also have the ability to site generation, although there is a 250 MW threshold for Washington EFSC review.  If we cross the threshold, EFSC review presents a delay and EFSC has been known to impose unreasonable conditions on siting.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Normal"/>
        <w:jc w:val="center"/>
        <w:rPr/>
      </w:pPr>
      <w:r>
        <w:rPr/>
        <w:t>***</w:t>
      </w:r>
    </w:p>
    <w:p>
      <w:pPr>
        <w:pStyle w:val="Normal"/>
        <w:jc w:val="center"/>
        <w:rPr>
          <w:color w:val="000000"/>
          <w:sz w:val="20"/>
        </w:rPr>
      </w:pPr>
      <w:r>
        <w:rPr>
          <w:color w:val="000000"/>
          <w:sz w:val="20"/>
        </w:rPr>
      </w:r>
    </w:p>
    <w:p>
      <w:pPr>
        <w:pStyle w:val="Heading2"/>
        <w:numPr>
          <w:ilvl w:val="0"/>
          <w:numId w:val="10"/>
        </w:numPr>
        <w:rPr>
          <w:rFonts w:ascii="Times New Roman" w:hAnsi="Times New Roman" w:cs="Times New Roman"/>
          <w:bCs w:val="false"/>
          <w:color w:val="000000"/>
          <w:sz w:val="20"/>
          <w:u w:val="single"/>
        </w:rPr>
      </w:pPr>
      <w:r>
        <w:rPr>
          <w:rFonts w:cs="Times New Roman" w:ascii="Times New Roman" w:hAnsi="Times New Roman"/>
          <w:bCs w:val="false"/>
          <w:color w:val="000000"/>
          <w:sz w:val="20"/>
          <w:u w:val="single"/>
        </w:rPr>
        <w:t>AZ</w:t>
      </w:r>
    </w:p>
    <w:p>
      <w:pPr>
        <w:pStyle w:val="Normal"/>
        <w:rPr>
          <w:rFonts w:ascii="Times New Roman" w:hAnsi="Times New Roman" w:cs="Times New Roman"/>
          <w:bCs/>
          <w:color w:val="000000"/>
          <w:sz w:val="20"/>
          <w:u w:val="single"/>
        </w:rPr>
      </w:pPr>
      <w:r>
        <w:rPr>
          <w:rFonts w:cs="Times New Roman"/>
          <w:bCs/>
          <w:color w:val="000000"/>
          <w:sz w:val="20"/>
          <w:u w:val="single"/>
        </w:rPr>
      </w:r>
    </w:p>
    <w:p>
      <w:pPr>
        <w:pStyle w:val="Heading9"/>
        <w:ind w:hanging="0" w:start="0"/>
        <w:rPr/>
      </w:pPr>
      <w:r>
        <w:rPr/>
        <w:t>Opportunities</w:t>
      </w:r>
    </w:p>
    <w:p>
      <w:pPr>
        <w:pStyle w:val="Normal"/>
        <w:rPr/>
      </w:pPr>
      <w:r>
        <w:rPr>
          <w:sz w:val="20"/>
        </w:rPr>
        <w:t xml:space="preserve">Overall, there are only limited opportunities in Arizona.  While </w:t>
      </w:r>
      <w:r>
        <w:rPr>
          <w:b/>
          <w:bCs/>
          <w:sz w:val="20"/>
        </w:rPr>
        <w:t>Tucson Electric</w:t>
      </w:r>
      <w:r>
        <w:rPr>
          <w:sz w:val="20"/>
        </w:rPr>
        <w:t xml:space="preserve"> deserves further study, the best opportunity is probably </w:t>
      </w:r>
      <w:r>
        <w:rPr>
          <w:b/>
          <w:bCs/>
          <w:sz w:val="20"/>
        </w:rPr>
        <w:t>Citizens Utilities Company</w:t>
      </w:r>
      <w:r>
        <w:rPr>
          <w:sz w:val="20"/>
        </w:rPr>
        <w:t xml:space="preserve">.  It is not recommended that we spend time undertaking a careful analysis of the cooperative utilities in the state.  Arizona </w:t>
      </w:r>
      <w:r>
        <w:rPr>
          <w:color w:val="000000"/>
          <w:sz w:val="20"/>
        </w:rPr>
        <w:t>cooperatives are directly tied into their G&amp;T and that opportunities are, therefore, limited.</w:t>
      </w:r>
    </w:p>
    <w:p>
      <w:pPr>
        <w:pStyle w:val="Normal"/>
        <w:rPr>
          <w:color w:val="000000"/>
          <w:sz w:val="20"/>
        </w:rPr>
      </w:pPr>
      <w:r>
        <w:rPr>
          <w:color w:val="000000"/>
          <w:sz w:val="20"/>
        </w:rPr>
      </w:r>
    </w:p>
    <w:p>
      <w:pPr>
        <w:pStyle w:val="Body"/>
        <w:ind w:start="0" w:end="0"/>
        <w:rPr/>
      </w:pPr>
      <w:r>
        <w:rPr>
          <w:rFonts w:cs="Times New Roman" w:ascii="Times New Roman" w:hAnsi="Times New Roman"/>
          <w:color w:val="000000"/>
        </w:rPr>
        <w:t>Citizens is probably interested in leaving the merchant function.  Citizens has been a full-requirements customer of Arizona Public Service and is serving a growing area—Kingman.  They already have customer choice—although the current regulations requiring open access have been suspended as a result of court action.  Citizens may be interested in discussing a sole sourcing or co-branding proposal with EES.  Additionally, Citizens is in the process of restructuring and may want to dispose of their electric utility properties (if they haven’t done so already).</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For the project to come together additional rate analysis, load shape analysis, etc., needs to be done then a meeting with Citizens should be arranged.  Further, some outreach to ENA is appropriate as Chris Foster, ENA in Portland, has a relationship with Citizens.  Timing for the project would be Fall 2001 for initial implementation.  It should also be noted that General Cable (an EES customer) is one of the largest loads on Citizens system.</w:t>
      </w:r>
    </w:p>
    <w:p>
      <w:pPr>
        <w:pStyle w:val="Body"/>
        <w:rPr>
          <w:rFonts w:ascii="Times New Roman" w:hAnsi="Times New Roman" w:cs="Times New Roman"/>
          <w:color w:val="000000"/>
          <w:u w:val="single"/>
        </w:rPr>
      </w:pPr>
      <w:r>
        <w:rPr>
          <w:rFonts w:cs="Times New Roman" w:ascii="Times New Roman" w:hAnsi="Times New Roman"/>
          <w:color w:val="000000"/>
          <w:u w:val="single"/>
        </w:rPr>
      </w:r>
    </w:p>
    <w:p>
      <w:pPr>
        <w:pStyle w:val="Body"/>
        <w:ind w:start="0" w:end="0"/>
        <w:rPr>
          <w:rFonts w:ascii="Times New Roman" w:hAnsi="Times New Roman" w:cs="Times New Roman"/>
          <w:color w:val="000000"/>
        </w:rPr>
      </w:pPr>
      <w:r>
        <w:rPr>
          <w:rFonts w:cs="Times New Roman" w:ascii="Times New Roman" w:hAnsi="Times New Roman"/>
          <w:color w:val="000000"/>
        </w:rPr>
        <w:t>On the gas side, Southwest Gas is the LDC in Arizona—it has transportation-only tariffs.  Our relationship with Southwest is currently shaky—we are pursuing a potential complaint at the ACC.  However we have a large number of customers behind the utility.</w:t>
      </w:r>
    </w:p>
    <w:p>
      <w:pPr>
        <w:pStyle w:val="Body"/>
        <w:rPr>
          <w:rFonts w:ascii="Times New Roman" w:hAnsi="Times New Roman" w:cs="Times New Roman"/>
          <w:color w:val="000000"/>
          <w:u w:val="single"/>
        </w:rPr>
      </w:pPr>
      <w:r>
        <w:rPr>
          <w:rFonts w:cs="Times New Roman" w:ascii="Times New Roman" w:hAnsi="Times New Roman"/>
          <w:color w:val="000000"/>
          <w:u w:val="single"/>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Regulatory Environment</w:t>
      </w:r>
    </w:p>
    <w:p>
      <w:pPr>
        <w:pStyle w:val="Body"/>
        <w:ind w:start="0" w:end="0"/>
        <w:rPr>
          <w:rFonts w:ascii="Times New Roman" w:hAnsi="Times New Roman" w:cs="Times New Roman"/>
          <w:color w:val="000000"/>
        </w:rPr>
      </w:pPr>
      <w:r>
        <w:rPr>
          <w:rFonts w:cs="Times New Roman" w:ascii="Times New Roman" w:hAnsi="Times New Roman"/>
          <w:color w:val="000000"/>
        </w:rPr>
        <w:t>As noted above, customer choice rules are currently suspended by court order . We understand that the ACC is going to reopen the rules simply to address the flaws that caused the court to act.   However, given current market conditions the ACC is not rushing to fix the rules. While the rules requiring open access are on hold, the settlements that addressed specific implementation for each of the utilities are in place.</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In general, the ACC is a constitutional body with far-ranging and far-reaching regulatory authority.  They have been consistently supportive of open access, but are prone to support the home-grown utilities—at the expense of marketers.  ACC commissioners are elected.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Political Environment</w:t>
      </w:r>
    </w:p>
    <w:p>
      <w:pPr>
        <w:pStyle w:val="Body"/>
        <w:ind w:start="0" w:end="0"/>
        <w:rPr>
          <w:rFonts w:ascii="Times New Roman" w:hAnsi="Times New Roman" w:cs="Times New Roman"/>
          <w:color w:val="000000"/>
          <w:u w:val="single"/>
        </w:rPr>
      </w:pPr>
      <w:r>
        <w:rPr>
          <w:rFonts w:cs="Times New Roman" w:ascii="Times New Roman" w:hAnsi="Times New Roman"/>
          <w:color w:val="000000"/>
        </w:rPr>
        <w:t xml:space="preserve">If we can offer a “better deal” we may be able to complete a local-focused PR campaign.  There are large retirement communities in Citizens’ service territory.  </w:t>
      </w:r>
    </w:p>
    <w:p>
      <w:pPr>
        <w:pStyle w:val="Body"/>
        <w:ind w:start="0" w:end="0"/>
        <w:rPr>
          <w:rFonts w:ascii="Times New Roman" w:hAnsi="Times New Roman" w:cs="Times New Roman"/>
          <w:b/>
          <w:bCs/>
          <w:color w:val="000000"/>
          <w:u w:val="single"/>
        </w:rPr>
      </w:pPr>
      <w:r>
        <w:rPr>
          <w:rFonts w:cs="Times New Roman" w:ascii="Times New Roman" w:hAnsi="Times New Roman"/>
          <w:b/>
          <w:bCs/>
          <w:color w:val="000000"/>
          <w:u w:val="single"/>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Market</w:t>
      </w:r>
    </w:p>
    <w:p>
      <w:pPr>
        <w:pStyle w:val="Body"/>
        <w:ind w:start="0" w:end="0"/>
        <w:rPr>
          <w:rFonts w:ascii="Times New Roman" w:hAnsi="Times New Roman" w:cs="Times New Roman"/>
          <w:color w:val="000000"/>
        </w:rPr>
      </w:pPr>
      <w:r>
        <w:rPr>
          <w:rFonts w:cs="Times New Roman" w:ascii="Times New Roman" w:hAnsi="Times New Roman"/>
          <w:color w:val="000000"/>
        </w:rPr>
        <w:t>WSCC is the relevant wholesale market.  In terms of siting generation, we understand siting in Arizona to be a relatively easy process.   However, recently pressure has been brought to slow the resource development process.  Arizona residents are beginning to see themselves as energy farmers for California.</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Heading6"/>
        <w:numPr>
          <w:ilvl w:val="0"/>
          <w:numId w:val="10"/>
        </w:numPr>
        <w:rPr/>
      </w:pPr>
      <w:r>
        <w:rPr/>
        <w:t>CA</w:t>
      </w:r>
    </w:p>
    <w:p>
      <w:pPr>
        <w:pStyle w:val="Normal"/>
        <w:rPr>
          <w:color w:val="000000"/>
          <w:sz w:val="20"/>
        </w:rPr>
      </w:pPr>
      <w:r>
        <w:rPr>
          <w:color w:val="000000"/>
          <w:sz w:val="20"/>
        </w:rPr>
      </w:r>
    </w:p>
    <w:p>
      <w:pPr>
        <w:pStyle w:val="Normal"/>
        <w:rPr>
          <w:color w:val="000000"/>
          <w:sz w:val="20"/>
        </w:rPr>
      </w:pPr>
      <w:r>
        <w:rPr>
          <w:color w:val="000000"/>
          <w:sz w:val="20"/>
        </w:rPr>
        <w:t>While the turbulent changes in California may create opportunities they have not been reduced to writing in this report.  The rapid pace and shear magnitude of change taking place makes the development of a coherent report problematic as the information becomes obsolete almost as soon as it is written down.  We will however keep attuned to opportunities which California may present as the future becomes a little clearer.</w:t>
      </w:r>
    </w:p>
    <w:p>
      <w:pPr>
        <w:pStyle w:val="Normal"/>
        <w:rPr>
          <w:color w:val="000000"/>
          <w:sz w:val="20"/>
        </w:rPr>
      </w:pPr>
      <w:r>
        <w:rPr>
          <w:color w:val="000000"/>
          <w:sz w:val="20"/>
        </w:rPr>
      </w:r>
    </w:p>
    <w:p>
      <w:pPr>
        <w:pStyle w:val="Normal"/>
        <w:jc w:val="center"/>
        <w:rPr>
          <w:color w:val="000000"/>
          <w:sz w:val="20"/>
        </w:rPr>
      </w:pPr>
      <w:r>
        <w:rPr>
          <w:color w:val="000000"/>
          <w:sz w:val="20"/>
        </w:rPr>
        <w:t>***</w:t>
      </w:r>
    </w:p>
    <w:p>
      <w:pPr>
        <w:pStyle w:val="Heading3"/>
        <w:numPr>
          <w:ilvl w:val="0"/>
          <w:numId w:val="10"/>
        </w:numPr>
        <w:rPr>
          <w:bCs w:val="false"/>
          <w:color w:val="000000"/>
          <w:sz w:val="20"/>
        </w:rPr>
      </w:pPr>
      <w:r>
        <w:rPr>
          <w:bCs w:val="false"/>
          <w:color w:val="000000"/>
          <w:sz w:val="20"/>
        </w:rPr>
        <w:t>MT</w:t>
      </w:r>
    </w:p>
    <w:p>
      <w:pPr>
        <w:pStyle w:val="Normal"/>
        <w:rPr>
          <w:bCs/>
          <w:color w:val="000000"/>
          <w:sz w:val="20"/>
        </w:rPr>
      </w:pPr>
      <w:r>
        <w:rPr>
          <w:bCs/>
          <w:color w:val="000000"/>
          <w:sz w:val="20"/>
        </w:rPr>
      </w:r>
    </w:p>
    <w:p>
      <w:pPr>
        <w:pStyle w:val="Heading2"/>
        <w:ind w:hanging="0" w:start="0"/>
        <w:rPr>
          <w:rFonts w:ascii="Times New Roman" w:hAnsi="Times New Roman" w:cs="Times New Roman"/>
          <w:sz w:val="20"/>
        </w:rPr>
      </w:pPr>
      <w:r>
        <w:rPr>
          <w:rFonts w:cs="Times New Roman" w:ascii="Times New Roman" w:hAnsi="Times New Roman"/>
          <w:sz w:val="20"/>
        </w:rPr>
        <w:t>Opportunities</w:t>
      </w:r>
    </w:p>
    <w:p>
      <w:pPr>
        <w:pStyle w:val="Normal"/>
        <w:rPr/>
      </w:pPr>
      <w:r>
        <w:rPr>
          <w:sz w:val="20"/>
        </w:rPr>
        <w:t xml:space="preserve">Montana is served by </w:t>
      </w:r>
      <w:r>
        <w:rPr>
          <w:b/>
          <w:bCs/>
          <w:sz w:val="20"/>
        </w:rPr>
        <w:t>Montana Power Company, Montana Dakota Utilities</w:t>
      </w:r>
      <w:r>
        <w:rPr>
          <w:sz w:val="20"/>
        </w:rPr>
        <w:t xml:space="preserve">, and a number of </w:t>
      </w:r>
      <w:r>
        <w:rPr>
          <w:b/>
          <w:bCs/>
          <w:sz w:val="20"/>
        </w:rPr>
        <w:t>municipal and cooperative utilities</w:t>
      </w:r>
      <w:r>
        <w:rPr>
          <w:sz w:val="20"/>
        </w:rPr>
        <w:t xml:space="preserve"> (including a coop that has a for-profit subsidiary that serves the utility territory formerly owned by PacifiCorp).  </w:t>
      </w:r>
    </w:p>
    <w:p>
      <w:pPr>
        <w:pStyle w:val="Body"/>
        <w:rPr>
          <w:rFonts w:ascii="Times New Roman" w:hAnsi="Times New Roman" w:cs="Times New Roman"/>
          <w:sz w:val="20"/>
        </w:rPr>
      </w:pPr>
      <w:r>
        <w:rPr>
          <w:rFonts w:cs="Times New Roman" w:ascii="Times New Roman" w:hAnsi="Times New Roman"/>
          <w:sz w:val="20"/>
        </w:rPr>
      </w:r>
    </w:p>
    <w:p>
      <w:pPr>
        <w:pStyle w:val="Body"/>
        <w:ind w:start="0" w:end="0"/>
        <w:rPr/>
      </w:pPr>
      <w:r>
        <w:rPr>
          <w:rFonts w:cs="Times New Roman" w:ascii="Times New Roman" w:hAnsi="Times New Roman"/>
          <w:color w:val="000000"/>
        </w:rPr>
        <w:t>Montana Power Company, having divested most of its generation assets, has indicated in past discussions with ENA that they would exit the default supplier function.  They have also said that they would take the obligation if they were fully compensated for default supply.  The opportunity here would be to take over the default supply function as a retail supplier.  EES should be able to sell non-utility services directly to customers but there are no regulations or statutory provisions that would allow us to require MPC to deal only with us.   Note that ENA has provided commodity to several industrial customers (and aggregated loads) in Montana.  It should also be noted that MPC is the gas LDC for much of Montana.  They have transportation only rates in place.</w:t>
      </w:r>
    </w:p>
    <w:p>
      <w:pPr>
        <w:pStyle w:val="Body"/>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Bringing the project together will require additional rate analysis, load shape analysis, etc., then a meeting with MPCo.  Further, some outreach to ENA is appropriate as Jake Thomas, Jeff Shields, Greg Wolfe, John Malowney and others at ENA have had commercial relationships with MPC and MPC customers.  The timeline would be for Fall 2001 implementation.</w:t>
      </w:r>
    </w:p>
    <w:p>
      <w:pPr>
        <w:pStyle w:val="Body"/>
        <w:rPr>
          <w:rFonts w:ascii="Times New Roman" w:hAnsi="Times New Roman" w:cs="Times New Roman"/>
          <w:color w:val="000000"/>
        </w:rPr>
      </w:pPr>
      <w:r>
        <w:rPr>
          <w:rFonts w:cs="Times New Roman" w:ascii="Times New Roman" w:hAnsi="Times New Roman"/>
          <w:color w:val="000000"/>
        </w:rPr>
      </w:r>
    </w:p>
    <w:p>
      <w:pPr>
        <w:pStyle w:val="Heading2"/>
        <w:ind w:hanging="0" w:start="0"/>
        <w:rPr>
          <w:rFonts w:ascii="Times New Roman" w:hAnsi="Times New Roman" w:cs="Times New Roman"/>
          <w:sz w:val="20"/>
        </w:rPr>
      </w:pPr>
      <w:r>
        <w:rPr>
          <w:rFonts w:cs="Times New Roman" w:ascii="Times New Roman" w:hAnsi="Times New Roman"/>
          <w:sz w:val="20"/>
        </w:rPr>
        <w:t>Regulatory Environment</w:t>
      </w:r>
    </w:p>
    <w:p>
      <w:pPr>
        <w:pStyle w:val="Normal"/>
        <w:rPr>
          <w:sz w:val="20"/>
        </w:rPr>
      </w:pPr>
      <w:r>
        <w:rPr>
          <w:sz w:val="20"/>
        </w:rPr>
        <w:t xml:space="preserve">Montana’s restructuring statute was enacted in 1997.  It provided customer choice to large consumers in 1998 (1 MW or greater or 300 kW or greater than can aggregate to 1 MW).  Small consumers were to have choice no earlier than 2002, but no later than 2004.  The Montana PSC has ruled that small customers will not get choice until 2004.  </w:t>
      </w:r>
    </w:p>
    <w:p>
      <w:pPr>
        <w:pStyle w:val="Normal"/>
        <w:rPr>
          <w:sz w:val="20"/>
        </w:rPr>
      </w:pPr>
      <w:r>
        <w:rPr>
          <w:sz w:val="20"/>
        </w:rPr>
      </w:r>
    </w:p>
    <w:p>
      <w:pPr>
        <w:pStyle w:val="Normal"/>
        <w:rPr>
          <w:sz w:val="20"/>
        </w:rPr>
      </w:pPr>
      <w:r>
        <w:rPr>
          <w:sz w:val="20"/>
        </w:rPr>
        <w:t xml:space="preserve">MPC sold all of its resources (other than its QFs and a troubled hydro resource) to PP&amp;L Montana.  PP&amp;L executed contracts back to MPC at about 23 mills/kWh.  The contracts lapse in 2002.   MPC is subject to a limited rate freeze until 2002.  </w:t>
      </w:r>
    </w:p>
    <w:p>
      <w:pPr>
        <w:pStyle w:val="Normal"/>
        <w:rPr>
          <w:sz w:val="20"/>
        </w:rPr>
      </w:pPr>
      <w:r>
        <w:rPr>
          <w:sz w:val="20"/>
        </w:rPr>
      </w:r>
    </w:p>
    <w:p>
      <w:pPr>
        <w:pStyle w:val="Normal"/>
        <w:rPr>
          <w:sz w:val="20"/>
        </w:rPr>
      </w:pPr>
      <w:r>
        <w:rPr>
          <w:sz w:val="20"/>
        </w:rPr>
        <w:t>Based on the current statute (which may be modified by the 2001 legislature), MPC can assign customers to an electricity supplier if they haven’t chosen one on their own. However, MPC is the “emergency supplier” behind all suppliers (even the “default supplier.”)  By statute, the “default supplier” role doesn’t start until the market is fully open.</w:t>
      </w:r>
    </w:p>
    <w:p>
      <w:pPr>
        <w:pStyle w:val="Normal"/>
        <w:rPr>
          <w:sz w:val="20"/>
        </w:rPr>
      </w:pPr>
      <w:r>
        <w:rPr>
          <w:sz w:val="20"/>
        </w:rPr>
      </w:r>
    </w:p>
    <w:p>
      <w:pPr>
        <w:pStyle w:val="Normal"/>
        <w:rPr>
          <w:color w:val="000000"/>
          <w:sz w:val="20"/>
        </w:rPr>
      </w:pPr>
      <w:r>
        <w:rPr>
          <w:sz w:val="20"/>
        </w:rPr>
        <w:t xml:space="preserve">MDU has until July 1, 2004 to file a transition plan for restructuring.  </w:t>
      </w:r>
    </w:p>
    <w:p>
      <w:pPr>
        <w:pStyle w:val="Normal"/>
        <w:rPr>
          <w:color w:val="000000"/>
          <w:sz w:val="20"/>
        </w:rPr>
      </w:pPr>
      <w:r>
        <w:rPr>
          <w:color w:val="000000"/>
          <w:sz w:val="2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Political Environment</w:t>
      </w:r>
    </w:p>
    <w:p>
      <w:pPr>
        <w:pStyle w:val="Body"/>
        <w:ind w:start="0" w:end="0"/>
        <w:rPr>
          <w:rFonts w:ascii="Times New Roman" w:hAnsi="Times New Roman" w:cs="Times New Roman"/>
          <w:color w:val="000000"/>
        </w:rPr>
      </w:pPr>
      <w:r>
        <w:rPr>
          <w:rFonts w:cs="Times New Roman" w:ascii="Times New Roman" w:hAnsi="Times New Roman"/>
          <w:color w:val="000000"/>
        </w:rPr>
        <w:t>The Montana PSC has been struggling with restructuring for a number of years and is very concerned with current market prices and the impact on Montana consumers.  Industrial shut-downs and shut-ins have already been experienced in Montana and are hot political issues.  The PSC and legislature would likely welcome a solution to their problem.  Also, we have retained  former Governor Mark Racicot on our national pr campaign addressing the California fallout.  He could be an excellent resource for us if needed.</w:t>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r>
    </w:p>
    <w:p>
      <w:pPr>
        <w:pStyle w:val="Body"/>
        <w:ind w:start="0" w:end="0"/>
        <w:rPr>
          <w:rFonts w:ascii="Times New Roman" w:hAnsi="Times New Roman" w:cs="Times New Roman"/>
          <w:color w:val="000000"/>
          <w:u w:val="single"/>
        </w:rPr>
      </w:pPr>
      <w:r>
        <w:rPr>
          <w:rFonts w:cs="Times New Roman" w:ascii="Times New Roman" w:hAnsi="Times New Roman"/>
          <w:b/>
          <w:bCs/>
          <w:color w:val="000000"/>
        </w:rPr>
        <w:t>Market</w:t>
      </w:r>
    </w:p>
    <w:p>
      <w:pPr>
        <w:pStyle w:val="Body"/>
        <w:ind w:start="0" w:end="0"/>
        <w:rPr>
          <w:rFonts w:ascii="Times New Roman" w:hAnsi="Times New Roman" w:cs="Times New Roman"/>
          <w:color w:val="000000"/>
        </w:rPr>
      </w:pPr>
      <w:r>
        <w:rPr>
          <w:rFonts w:cs="Times New Roman" w:ascii="Times New Roman" w:hAnsi="Times New Roman"/>
          <w:color w:val="000000"/>
        </w:rPr>
        <w:t xml:space="preserve">The relevant wholesale market is WSCC.  Generation in Montana, however, is very concentrated.  Transmission is limited into and out of Montana during certain periods of the year.  As indicated above, MPC sold virtually all of its generation to PP&amp;L Montana. </w:t>
      </w:r>
    </w:p>
    <w:p>
      <w:pPr>
        <w:pStyle w:val="Normal"/>
        <w:rPr>
          <w:rFonts w:ascii="Times New Roman" w:hAnsi="Times New Roman" w:cs="Times New Roman"/>
          <w:color w:val="000000"/>
          <w:sz w:val="20"/>
        </w:rPr>
      </w:pPr>
      <w:r>
        <w:rPr>
          <w:rFonts w:cs="Times New Roman"/>
          <w:color w:val="000000"/>
          <w:sz w:val="20"/>
        </w:rPr>
      </w:r>
    </w:p>
    <w:p>
      <w:pPr>
        <w:pStyle w:val="Normal"/>
        <w:jc w:val="center"/>
        <w:rPr>
          <w:color w:val="000000"/>
          <w:sz w:val="20"/>
        </w:rPr>
      </w:pPr>
      <w:r>
        <w:rPr>
          <w:color w:val="000000"/>
          <w:sz w:val="20"/>
        </w:rPr>
        <w:t>***</w:t>
      </w:r>
    </w:p>
    <w:p>
      <w:pPr>
        <w:pStyle w:val="Normal"/>
        <w:rPr>
          <w:color w:val="000000"/>
          <w:sz w:val="20"/>
        </w:rPr>
      </w:pPr>
      <w:r>
        <w:rPr>
          <w:color w:val="000000"/>
          <w:sz w:val="20"/>
        </w:rPr>
      </w:r>
    </w:p>
    <w:p>
      <w:pPr>
        <w:pStyle w:val="Heading2"/>
        <w:numPr>
          <w:ilvl w:val="0"/>
          <w:numId w:val="10"/>
        </w:numPr>
        <w:rPr>
          <w:rFonts w:ascii="Times New Roman" w:hAnsi="Times New Roman" w:cs="Times New Roman"/>
          <w:bCs w:val="false"/>
          <w:color w:val="000000"/>
          <w:sz w:val="20"/>
          <w:u w:val="single"/>
        </w:rPr>
      </w:pPr>
      <w:r>
        <w:rPr>
          <w:rFonts w:cs="Times New Roman" w:ascii="Times New Roman" w:hAnsi="Times New Roman"/>
          <w:bCs w:val="false"/>
          <w:color w:val="000000"/>
          <w:sz w:val="20"/>
          <w:u w:val="single"/>
        </w:rPr>
        <w:t>NV</w:t>
      </w:r>
    </w:p>
    <w:p>
      <w:pPr>
        <w:pStyle w:val="Normal"/>
        <w:rPr>
          <w:rFonts w:ascii="Times New Roman" w:hAnsi="Times New Roman" w:cs="Times New Roman"/>
          <w:b/>
          <w:bCs/>
          <w:color w:val="000000"/>
          <w:sz w:val="20"/>
          <w:u w:val="single"/>
        </w:rPr>
      </w:pPr>
      <w:r>
        <w:rPr>
          <w:rFonts w:cs="Times New Roman"/>
          <w:b/>
          <w:bCs/>
          <w:color w:val="000000"/>
          <w:sz w:val="20"/>
          <w:u w:val="single"/>
        </w:rPr>
      </w:r>
    </w:p>
    <w:p>
      <w:pPr>
        <w:pStyle w:val="Heading4"/>
        <w:keepLines w:val="false"/>
        <w:autoSpaceDE w:val="true"/>
        <w:spacing w:lineRule="auto" w:line="240"/>
        <w:ind w:hanging="0" w:start="0"/>
        <w:rPr>
          <w:rFonts w:ascii="Times New Roman" w:hAnsi="Times New Roman" w:cs="Times New Roman"/>
          <w:b/>
          <w:bCs/>
          <w:szCs w:val="24"/>
          <w:u w:val="none"/>
        </w:rPr>
      </w:pPr>
      <w:r>
        <w:rPr>
          <w:rFonts w:cs="Times New Roman" w:ascii="Times New Roman" w:hAnsi="Times New Roman"/>
          <w:b/>
          <w:bCs/>
          <w:szCs w:val="24"/>
          <w:u w:val="none"/>
        </w:rPr>
        <w:t>Opportunities</w:t>
      </w:r>
    </w:p>
    <w:p>
      <w:pPr>
        <w:pStyle w:val="BodyText"/>
        <w:rPr/>
      </w:pPr>
      <w:r>
        <w:rPr>
          <w:rFonts w:cs="Times New Roman" w:ascii="Times New Roman" w:hAnsi="Times New Roman"/>
          <w:b/>
          <w:bCs/>
          <w:i w:val="false"/>
          <w:iCs w:val="false"/>
        </w:rPr>
        <w:t>Nevada Power Company</w:t>
      </w:r>
      <w:r>
        <w:rPr>
          <w:rFonts w:cs="Times New Roman" w:ascii="Times New Roman" w:hAnsi="Times New Roman"/>
          <w:i w:val="false"/>
          <w:iCs w:val="false"/>
        </w:rPr>
        <w:t xml:space="preserve"> and </w:t>
      </w:r>
      <w:r>
        <w:rPr>
          <w:rFonts w:cs="Times New Roman" w:ascii="Times New Roman" w:hAnsi="Times New Roman"/>
          <w:b/>
          <w:bCs/>
          <w:i w:val="false"/>
          <w:iCs w:val="false"/>
        </w:rPr>
        <w:t>Sierra Pacific Power Company</w:t>
      </w:r>
      <w:r>
        <w:rPr>
          <w:rFonts w:cs="Times New Roman" w:ascii="Times New Roman" w:hAnsi="Times New Roman"/>
          <w:i w:val="false"/>
          <w:iCs w:val="false"/>
        </w:rPr>
        <w:t xml:space="preserve"> could both be seen to exit the merchant function.  ENA has met with NPC and SPPC several times to discuss taking over the default supply option.  Three CEOs later, NPC and SPPC are still expressing interest—but little definitive movement has been seen.</w:t>
      </w:r>
    </w:p>
    <w:p>
      <w:pPr>
        <w:pStyle w:val="BodyText"/>
        <w:rPr>
          <w:rFonts w:ascii="Times New Roman" w:hAnsi="Times New Roman" w:cs="Times New Roman"/>
          <w:i w:val="false"/>
          <w:i w:val="false"/>
          <w:iCs w:val="false"/>
        </w:rPr>
      </w:pPr>
      <w:r>
        <w:rPr>
          <w:rFonts w:cs="Times New Roman" w:ascii="Times New Roman" w:hAnsi="Times New Roman"/>
          <w:i w:val="false"/>
          <w:iCs w:val="false"/>
        </w:rPr>
      </w:r>
    </w:p>
    <w:p>
      <w:pPr>
        <w:pStyle w:val="Body"/>
        <w:ind w:start="0" w:end="0"/>
        <w:rPr/>
      </w:pPr>
      <w:r>
        <w:rPr>
          <w:rFonts w:cs="Times New Roman" w:ascii="Times New Roman" w:hAnsi="Times New Roman"/>
          <w:color w:val="000000"/>
        </w:rPr>
        <w:t xml:space="preserve">On the public power side, ENA has a power supply/management arrangement with </w:t>
      </w:r>
      <w:r>
        <w:rPr>
          <w:rFonts w:cs="Times New Roman" w:ascii="Times New Roman" w:hAnsi="Times New Roman"/>
          <w:b/>
          <w:bCs/>
          <w:color w:val="000000"/>
        </w:rPr>
        <w:t>Valley Electric Coop</w:t>
      </w:r>
      <w:r>
        <w:rPr>
          <w:rFonts w:cs="Times New Roman" w:ascii="Times New Roman" w:hAnsi="Times New Roman"/>
          <w:color w:val="000000"/>
        </w:rPr>
        <w:t xml:space="preserve"> and has had discussions with other </w:t>
      </w:r>
      <w:r>
        <w:rPr>
          <w:rFonts w:cs="Times New Roman" w:ascii="Times New Roman" w:hAnsi="Times New Roman"/>
          <w:b/>
          <w:bCs/>
          <w:color w:val="000000"/>
        </w:rPr>
        <w:t>coops and municipal utilities</w:t>
      </w:r>
      <w:r>
        <w:rPr>
          <w:rFonts w:cs="Times New Roman" w:ascii="Times New Roman" w:hAnsi="Times New Roman"/>
          <w:color w:val="000000"/>
        </w:rPr>
        <w:t xml:space="preserve"> in Southern Nevada.  These utilities may be willing to expand our relationship to allow delivery of EES products and services.  Under the restructuring statutes, munis can aggregate.  Nevada is otherwise a home rule state.</w:t>
      </w:r>
    </w:p>
    <w:p>
      <w:pPr>
        <w:pStyle w:val="Body"/>
        <w:rPr>
          <w:rFonts w:ascii="Times New Roman" w:hAnsi="Times New Roman" w:cs="Times New Roman"/>
          <w:color w:val="000000"/>
        </w:rPr>
      </w:pPr>
      <w:r>
        <w:rPr>
          <w:rFonts w:cs="Times New Roman" w:ascii="Times New Roman" w:hAnsi="Times New Roman"/>
          <w:color w:val="000000"/>
        </w:rPr>
      </w:r>
    </w:p>
    <w:p>
      <w:pPr>
        <w:pStyle w:val="Body"/>
        <w:rPr>
          <w:rFonts w:ascii="Times New Roman" w:hAnsi="Times New Roman" w:cs="Times New Roman"/>
          <w:color w:val="000000"/>
          <w:u w:val="single"/>
        </w:rPr>
      </w:pPr>
      <w:r>
        <w:rPr>
          <w:rFonts w:cs="Times New Roman" w:ascii="Times New Roman" w:hAnsi="Times New Roman"/>
          <w:color w:val="000000"/>
        </w:rPr>
        <w:tab/>
      </w:r>
    </w:p>
    <w:p>
      <w:pPr>
        <w:pStyle w:val="Body"/>
        <w:ind w:start="0" w:end="0"/>
        <w:rPr>
          <w:rFonts w:ascii="Times New Roman" w:hAnsi="Times New Roman" w:cs="Times New Roman"/>
          <w:color w:val="000000"/>
        </w:rPr>
      </w:pPr>
      <w:r>
        <w:rPr>
          <w:rFonts w:cs="Times New Roman" w:ascii="Times New Roman" w:hAnsi="Times New Roman"/>
          <w:color w:val="000000"/>
        </w:rPr>
        <w:t>Bringing these projects together will require additional rate analysis, load shape analysis, etc., then a meeting with the utilities.  Further, some outreach to ENA is appropriate as Jake Thomas, Chris Calger, Paul Choi and others at ENA have ongoing relationships with these utilities.  In addition, ENA is developing a peaker in North Las Vegas—contact Jim Gilbert.    We probably will also have to wait for an outcome on our sale of PGE to the parent corporation of NPC and SPPC.  Timing would be for Winter, 2001 for initial implementation.</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 xml:space="preserve">On the gas side, Southwest Gas is the LDC in Las Vegas and sections of Northern Nevada.  SPPC is the other LDC in Northern Nevada.  They both have transportation only rates.  There is also a mechanism for triggering a reduction in the MDQ for the transportation only rates (as well as increase the types of services that marketers can offer).  </w:t>
      </w:r>
    </w:p>
    <w:p>
      <w:pPr>
        <w:pStyle w:val="Body"/>
        <w:rPr>
          <w:rFonts w:ascii="Times New Roman" w:hAnsi="Times New Roman" w:cs="Times New Roman"/>
          <w:color w:val="000000"/>
        </w:rPr>
      </w:pPr>
      <w:r>
        <w:rPr>
          <w:rFonts w:cs="Times New Roman" w:ascii="Times New Roman" w:hAnsi="Times New Roman"/>
          <w:color w:val="000000"/>
        </w:rPr>
      </w:r>
    </w:p>
    <w:p>
      <w:pPr>
        <w:pStyle w:val="Heading9"/>
        <w:ind w:hanging="0" w:start="0"/>
        <w:rPr/>
      </w:pPr>
      <w:r>
        <w:rPr/>
        <w:t>Regulatory Framework</w:t>
      </w:r>
    </w:p>
    <w:p>
      <w:pPr>
        <w:pStyle w:val="BodyText"/>
        <w:rPr/>
      </w:pPr>
      <w:r>
        <w:rPr>
          <w:rFonts w:cs="Times New Roman" w:ascii="Times New Roman" w:hAnsi="Times New Roman"/>
          <w:i w:val="false"/>
          <w:iCs w:val="false"/>
        </w:rPr>
        <w:t xml:space="preserve">Nevada passed a far-reaching restructuring statute in 1997 and amended it in 1999.  The 1999 statute eliminated deferred energy accounting, imposed a rate freeze, gave the Governor the right to delay restructuring, and </w:t>
      </w:r>
      <w:r>
        <w:rPr>
          <w:rFonts w:cs="Times New Roman" w:ascii="Times New Roman" w:hAnsi="Times New Roman"/>
          <w:b/>
          <w:bCs/>
          <w:i w:val="false"/>
          <w:iCs w:val="false"/>
        </w:rPr>
        <w:t>created a trigger mechanism for an auction of the default supplier role</w:t>
      </w:r>
      <w:r>
        <w:rPr>
          <w:rFonts w:cs="Times New Roman" w:ascii="Times New Roman" w:hAnsi="Times New Roman"/>
          <w:i w:val="false"/>
          <w:iCs w:val="false"/>
        </w:rPr>
        <w:t>.   The 1999 legislation was based in part on the Nevada Power Company/Sierra Pacific Power Company merger and the underlying sale of their generating assets.</w:t>
      </w:r>
    </w:p>
    <w:p>
      <w:pPr>
        <w:pStyle w:val="BodyText"/>
        <w:rPr>
          <w:rFonts w:ascii="Times New Roman" w:hAnsi="Times New Roman" w:cs="Times New Roman"/>
          <w:i w:val="false"/>
          <w:i w:val="false"/>
          <w:iCs w:val="false"/>
        </w:rPr>
      </w:pPr>
      <w:r>
        <w:rPr>
          <w:rFonts w:cs="Times New Roman" w:ascii="Times New Roman" w:hAnsi="Times New Roman"/>
          <w:i w:val="false"/>
          <w:iCs w:val="false"/>
        </w:rPr>
      </w:r>
    </w:p>
    <w:p>
      <w:pPr>
        <w:pStyle w:val="BodyText"/>
        <w:rPr>
          <w:rFonts w:ascii="Times New Roman" w:hAnsi="Times New Roman" w:cs="Times New Roman"/>
          <w:i w:val="false"/>
          <w:i w:val="false"/>
          <w:iCs w:val="false"/>
        </w:rPr>
      </w:pPr>
      <w:r>
        <w:rPr>
          <w:rFonts w:cs="Times New Roman" w:ascii="Times New Roman" w:hAnsi="Times New Roman"/>
          <w:i w:val="false"/>
          <w:iCs w:val="false"/>
        </w:rPr>
        <w:t>Since 1999: (a) the utilities have approached insolvency twice; (b) been given two fuel and purchased power mechanisms (the FP&amp;P rider—which is adjusted on a monthly  basis and the CEP rider); (c) the Governor has delayed open access until 2003; and (d) the sale of the utilities’ assets has been delayed.</w:t>
      </w:r>
    </w:p>
    <w:p>
      <w:pPr>
        <w:pStyle w:val="BodyText"/>
        <w:rPr>
          <w:rFonts w:ascii="Times New Roman" w:hAnsi="Times New Roman" w:cs="Times New Roman"/>
          <w:i w:val="false"/>
          <w:i w:val="false"/>
          <w:iCs w:val="false"/>
        </w:rPr>
      </w:pPr>
      <w:r>
        <w:rPr>
          <w:rFonts w:cs="Times New Roman" w:ascii="Times New Roman" w:hAnsi="Times New Roman"/>
          <w:i w:val="false"/>
          <w:iCs w:val="false"/>
        </w:rPr>
      </w:r>
    </w:p>
    <w:p>
      <w:pPr>
        <w:pStyle w:val="BodyText"/>
        <w:rPr>
          <w:rFonts w:ascii="Times New Roman" w:hAnsi="Times New Roman" w:cs="Times New Roman"/>
          <w:i w:val="false"/>
          <w:i w:val="false"/>
          <w:iCs w:val="false"/>
        </w:rPr>
      </w:pPr>
      <w:r>
        <w:rPr>
          <w:rFonts w:cs="Times New Roman" w:ascii="Times New Roman" w:hAnsi="Times New Roman"/>
          <w:i w:val="false"/>
          <w:iCs w:val="false"/>
        </w:rPr>
        <w:t>The 2001 legislature is considering legislation to:  (a) place a moratorium on asset sales; (b) allow direct access for only the largest of NPC and SPPC’s customers; and (c) replace the FP&amp;P and CEP riders with deferred energy accounting.  The legislative session ends on June 4.</w:t>
      </w:r>
    </w:p>
    <w:p>
      <w:pPr>
        <w:pStyle w:val="Body"/>
        <w:ind w:start="0" w:end="0"/>
        <w:rPr>
          <w:rFonts w:ascii="Times New Roman" w:hAnsi="Times New Roman" w:cs="Times New Roman"/>
          <w:i/>
          <w:i/>
          <w:iCs/>
          <w:color w:val="000000"/>
        </w:rPr>
      </w:pPr>
      <w:r>
        <w:rPr>
          <w:rFonts w:cs="Times New Roman" w:ascii="Times New Roman" w:hAnsi="Times New Roman"/>
          <w:i/>
          <w:i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Political Environment</w:t>
      </w:r>
    </w:p>
    <w:p>
      <w:pPr>
        <w:pStyle w:val="Body"/>
        <w:ind w:start="0" w:end="0"/>
        <w:rPr>
          <w:rFonts w:ascii="Times New Roman" w:hAnsi="Times New Roman" w:cs="Times New Roman"/>
          <w:color w:val="000000"/>
        </w:rPr>
      </w:pPr>
      <w:r>
        <w:rPr>
          <w:rFonts w:cs="Times New Roman" w:ascii="Times New Roman" w:hAnsi="Times New Roman"/>
          <w:color w:val="000000"/>
        </w:rPr>
        <w:t xml:space="preserve">Enron has very strong relationships within the PUCN.  As a body, it is middle of the road.  It looks for solutions, rather than taking positions.  All of the sitting Commissioners have been appointed by the current Governor.  Enron has decent relationships with the Governor and with the legislature.  The legislature meets every other year so any announcement made in the interim period can be made with limited legislative contact.  If a deal is cut, all eyes will be looking for the hidden payment to Enron (re:  the PGE transaction).  </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pPr>
      <w:r>
        <w:rPr>
          <w:rFonts w:cs="Times New Roman" w:ascii="Times New Roman" w:hAnsi="Times New Roman"/>
          <w:b/>
          <w:bCs/>
          <w:color w:val="000000"/>
        </w:rPr>
        <w:t xml:space="preserve">As indicated above, we can trigger an auction of the default supply auction by agreeing to serve 10% of the load in either the North or the South. </w:t>
      </w:r>
      <w:r>
        <w:rPr>
          <w:rFonts w:cs="Times New Roman" w:ascii="Times New Roman" w:hAnsi="Times New Roman"/>
          <w:color w:val="000000"/>
        </w:rPr>
        <w:t xml:space="preserve"> The PUCN then has to find that an auction is in the public interest, identify the terms and conditions of the auction and identify the winner of the auction.</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color w:val="000000"/>
        </w:rPr>
      </w:pPr>
      <w:r>
        <w:rPr>
          <w:rFonts w:cs="Times New Roman" w:ascii="Times New Roman" w:hAnsi="Times New Roman"/>
          <w:color w:val="000000"/>
        </w:rPr>
        <w:t>Enron Government Affairs expect deferred energy legislation to pass and be signed into law this year.  In the past, only Nevada Power Company used deferred energy accounting--in which an account is established for all fuel and purchased power expense, revenues from a deferred energy rate are credited against the account, and adjustments to the deferred energy rate are made once the account reached certain limits (with either under or over-recoveries).  Nevada law may contain a "no less often than" component, which requires the utilities to come in for a cost review even if the limits have not been reached.  We believe the deferred energy proceedings may contain a prudence element as well.</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Market</w:t>
      </w:r>
    </w:p>
    <w:p>
      <w:pPr>
        <w:pStyle w:val="Body"/>
        <w:ind w:start="0" w:end="0"/>
        <w:rPr>
          <w:rFonts w:ascii="Times New Roman" w:hAnsi="Times New Roman" w:cs="Times New Roman"/>
          <w:color w:val="000000"/>
        </w:rPr>
      </w:pPr>
      <w:r>
        <w:rPr>
          <w:rFonts w:cs="Times New Roman" w:ascii="Times New Roman" w:hAnsi="Times New Roman"/>
          <w:color w:val="000000"/>
        </w:rPr>
        <w:t>The relevant wholesale market is WSCC.</w:t>
      </w:r>
    </w:p>
    <w:p>
      <w:pPr>
        <w:pStyle w:val="Body"/>
        <w:ind w:start="0" w:end="0"/>
        <w:rPr>
          <w:rFonts w:ascii="Times New Roman" w:hAnsi="Times New Roman" w:cs="Times New Roman"/>
          <w:color w:val="000000"/>
          <w:u w:val="single"/>
        </w:rPr>
      </w:pPr>
      <w:r>
        <w:rPr>
          <w:rFonts w:cs="Times New Roman" w:ascii="Times New Roman" w:hAnsi="Times New Roman"/>
          <w:color w:val="000000"/>
          <w:u w:val="single"/>
        </w:rPr>
      </w:r>
    </w:p>
    <w:p>
      <w:pPr>
        <w:pStyle w:val="Body"/>
        <w:ind w:start="0" w:end="0"/>
        <w:rPr>
          <w:rFonts w:ascii="Times New Roman" w:hAnsi="Times New Roman" w:cs="Times New Roman"/>
          <w:color w:val="000000"/>
        </w:rPr>
      </w:pPr>
      <w:r>
        <w:rPr>
          <w:rFonts w:cs="Times New Roman" w:ascii="Times New Roman" w:hAnsi="Times New Roman"/>
          <w:color w:val="000000"/>
        </w:rPr>
        <w:t>There is a significant load pocket problem in Northern Nevada—where virtually all of the generation is owned by SPPC.  In addition, there are transmission constraints in Southern Nevada during certain limited periods of the year.  In Southern Nevada, several thousand megawatts of merchant capacity has been announced (on-line in the summer of 2003).</w:t>
      </w:r>
    </w:p>
    <w:p>
      <w:pPr>
        <w:pStyle w:val="Body"/>
        <w:ind w:start="0" w:end="0"/>
        <w:rPr>
          <w:rFonts w:ascii="Times New Roman" w:hAnsi="Times New Roman" w:cs="Times New Roman"/>
          <w:color w:val="000000"/>
          <w:u w:val="single"/>
        </w:rPr>
      </w:pPr>
      <w:r>
        <w:rPr>
          <w:rFonts w:cs="Times New Roman" w:ascii="Times New Roman" w:hAnsi="Times New Roman"/>
          <w:color w:val="000000"/>
          <w:u w:val="single"/>
        </w:rPr>
      </w:r>
    </w:p>
    <w:p>
      <w:pPr>
        <w:pStyle w:val="Body"/>
        <w:ind w:start="0" w:end="0"/>
        <w:rPr>
          <w:rFonts w:ascii="Times New Roman" w:hAnsi="Times New Roman" w:cs="Times New Roman"/>
          <w:color w:val="000000"/>
        </w:rPr>
      </w:pPr>
      <w:r>
        <w:rPr>
          <w:rFonts w:cs="Times New Roman" w:ascii="Times New Roman" w:hAnsi="Times New Roman"/>
          <w:color w:val="000000"/>
        </w:rPr>
        <w:t>Additionally, we understand siting in Nevada and have already sited one project in the South.  Recently pressure has been building to deny water rights to power projects that do not commit their output to the state.  In addition, there are air issues in Southern Nevada.</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Body"/>
        <w:ind w:start="0" w:end="0"/>
        <w:jc w:val="center"/>
        <w:rPr>
          <w:rFonts w:ascii="Times New Roman" w:hAnsi="Times New Roman" w:cs="Times New Roman"/>
          <w:color w:val="000000"/>
        </w:rPr>
      </w:pPr>
      <w:r>
        <w:rPr>
          <w:rFonts w:cs="Times New Roman" w:ascii="Times New Roman" w:hAnsi="Times New Roman"/>
          <w:color w:val="000000"/>
        </w:rPr>
        <w:t>***</w:t>
      </w:r>
    </w:p>
    <w:p>
      <w:pPr>
        <w:pStyle w:val="Body"/>
        <w:ind w:start="0" w:end="0"/>
        <w:rPr>
          <w:rFonts w:ascii="Times New Roman" w:hAnsi="Times New Roman" w:cs="Times New Roman"/>
          <w:color w:val="000000"/>
        </w:rPr>
      </w:pPr>
      <w:r>
        <w:rPr>
          <w:rFonts w:cs="Times New Roman" w:ascii="Times New Roman" w:hAnsi="Times New Roman"/>
          <w:color w:val="000000"/>
        </w:rPr>
      </w:r>
    </w:p>
    <w:p>
      <w:pPr>
        <w:pStyle w:val="Heading2"/>
        <w:numPr>
          <w:ilvl w:val="0"/>
          <w:numId w:val="10"/>
        </w:numPr>
        <w:rPr>
          <w:rFonts w:ascii="Times New Roman" w:hAnsi="Times New Roman" w:cs="Times New Roman"/>
          <w:bCs w:val="false"/>
          <w:color w:val="000000"/>
          <w:sz w:val="20"/>
          <w:u w:val="single"/>
        </w:rPr>
      </w:pPr>
      <w:r>
        <w:rPr>
          <w:rFonts w:cs="Times New Roman" w:ascii="Times New Roman" w:hAnsi="Times New Roman"/>
          <w:bCs w:val="false"/>
          <w:color w:val="000000"/>
          <w:sz w:val="20"/>
          <w:u w:val="single"/>
        </w:rPr>
        <w:t>NM</w:t>
      </w:r>
    </w:p>
    <w:p>
      <w:pPr>
        <w:pStyle w:val="Body"/>
        <w:ind w:start="0" w:end="0"/>
        <w:rPr>
          <w:rFonts w:ascii="Times New Roman" w:hAnsi="Times New Roman" w:cs="Times New Roman"/>
          <w:bCs/>
          <w:color w:val="000000"/>
          <w:sz w:val="20"/>
          <w:u w:val="single"/>
        </w:rPr>
      </w:pPr>
      <w:r>
        <w:rPr>
          <w:rFonts w:cs="Times New Roman" w:ascii="Times New Roman" w:hAnsi="Times New Roman"/>
          <w:bCs/>
          <w:color w:val="000000"/>
          <w:sz w:val="20"/>
          <w:u w:val="single"/>
        </w:rPr>
      </w:r>
    </w:p>
    <w:p>
      <w:pPr>
        <w:pStyle w:val="Heading8"/>
        <w:ind w:hanging="0" w:start="0"/>
        <w:rPr/>
      </w:pPr>
      <w:r>
        <w:rPr/>
        <w:t>Opportunity</w:t>
      </w:r>
    </w:p>
    <w:p>
      <w:pPr>
        <w:pStyle w:val="Normal"/>
        <w:autoSpaceDE w:val="false"/>
        <w:spacing w:lineRule="atLeast" w:line="240"/>
        <w:rPr/>
      </w:pPr>
      <w:r>
        <w:rPr>
          <w:b/>
          <w:bCs/>
          <w:color w:val="000000"/>
          <w:sz w:val="20"/>
          <w:szCs w:val="20"/>
        </w:rPr>
        <w:t>Southwestern Public Service</w:t>
      </w:r>
      <w:r>
        <w:rPr>
          <w:color w:val="000000"/>
          <w:sz w:val="20"/>
          <w:szCs w:val="20"/>
        </w:rPr>
        <w:t xml:space="preserve"> has a potential market for block customers.  SPS operates in the SPP.</w:t>
      </w:r>
    </w:p>
    <w:p>
      <w:pPr>
        <w:pStyle w:val="Normal"/>
        <w:keepLines/>
        <w:autoSpaceDE w:val="false"/>
        <w:spacing w:lineRule="atLeast" w:line="240"/>
        <w:rPr>
          <w:color w:val="000000"/>
          <w:sz w:val="20"/>
          <w:szCs w:val="20"/>
        </w:rPr>
      </w:pPr>
      <w:r>
        <w:rPr>
          <w:color w:val="000000"/>
          <w:sz w:val="20"/>
          <w:szCs w:val="20"/>
        </w:rPr>
        <w:t xml:space="preserve">SPS historically is a low cost utility serving customers in west Texas, Eastern NM, Oklahoma and Kansas.  It merged with Public Service of Colorado a few years ago and recently merged with NSP to form Xcel. The problem SPS has is that the NSP merger contemplated electric restructuring occurring by 2002 for both NM and Texas, which will definitely not happen until 2007 in NM and may not happen in Texas for a while.  As a result, SPS is in no-man's land.  They had promised to sell off a large portion of their generation into the market, which would have given them some nice returns, but that has been stymied by the delays in competition.  They also act as supplier to a number of coops in their territory who want to keep their low cost supply arrangements with SPS in place.  Basically this is a utility with a lot of cheap generation that cannot get market prices for their power.  </w:t>
      </w:r>
    </w:p>
    <w:p>
      <w:pPr>
        <w:pStyle w:val="Normal"/>
        <w:keepLines/>
        <w:autoSpaceDE w:val="false"/>
        <w:spacing w:lineRule="atLeast" w:line="240"/>
        <w:rPr>
          <w:color w:val="000000"/>
          <w:sz w:val="20"/>
          <w:szCs w:val="20"/>
        </w:rPr>
      </w:pPr>
      <w:r>
        <w:rPr>
          <w:color w:val="000000"/>
          <w:sz w:val="20"/>
          <w:szCs w:val="20"/>
        </w:rPr>
      </w:r>
    </w:p>
    <w:p>
      <w:pPr>
        <w:pStyle w:val="Normal"/>
        <w:keepLines/>
        <w:autoSpaceDE w:val="false"/>
        <w:spacing w:lineRule="atLeast" w:line="240"/>
        <w:rPr>
          <w:color w:val="000000"/>
          <w:sz w:val="20"/>
          <w:szCs w:val="20"/>
        </w:rPr>
      </w:pPr>
      <w:r>
        <w:rPr>
          <w:color w:val="000000"/>
          <w:sz w:val="20"/>
          <w:szCs w:val="20"/>
        </w:rPr>
        <w:t xml:space="preserve">Enron Government Affairs has heard, as have others, that SPS would love to leave the merchant function and some of their regulatory staff mentioned that in Texas they contemplated giving that role over to a 3rd party once the markets opened.  (In Texas the utility must keep a standard offer open for small commercial and residential customers for a period of time, at rates discounted from existing rates).  </w:t>
      </w:r>
    </w:p>
    <w:p>
      <w:pPr>
        <w:pStyle w:val="Normal"/>
        <w:keepLines/>
        <w:autoSpaceDE w:val="false"/>
        <w:spacing w:lineRule="atLeast" w:line="240"/>
        <w:rPr>
          <w:rFonts w:ascii="Helv" w:hAnsi="Helv" w:cs="Helv"/>
          <w:color w:val="000000"/>
          <w:sz w:val="20"/>
          <w:szCs w:val="20"/>
        </w:rPr>
      </w:pPr>
      <w:r>
        <w:rPr>
          <w:rFonts w:cs="Helv" w:ascii="Helv" w:hAnsi="Helv"/>
          <w:color w:val="000000"/>
          <w:sz w:val="20"/>
          <w:szCs w:val="20"/>
        </w:rPr>
      </w:r>
    </w:p>
    <w:p>
      <w:pPr>
        <w:pStyle w:val="BodyText"/>
        <w:rPr>
          <w:rFonts w:ascii="Times New Roman" w:hAnsi="Times New Roman" w:cs="Times New Roman"/>
          <w:i w:val="false"/>
          <w:i w:val="false"/>
          <w:iCs w:val="false"/>
        </w:rPr>
      </w:pPr>
      <w:r>
        <w:rPr>
          <w:rFonts w:cs="Times New Roman" w:ascii="Times New Roman" w:hAnsi="Times New Roman"/>
          <w:i w:val="false"/>
          <w:iCs w:val="false"/>
        </w:rPr>
        <w:t xml:space="preserve">Enron has not had much exposure to SPS (or really even Public Service of Colorado) such that they would harbor ill feelings toward Enron.  They have taken a low keyed approach in most restructuring debates perhaps because it gives them a huge upside, but also because it means that their historical sales customers would likely see rate increases if prices go to "market."   </w:t>
      </w:r>
    </w:p>
    <w:p>
      <w:pPr>
        <w:pStyle w:val="BodyText"/>
        <w:rPr>
          <w:rFonts w:ascii="Times New Roman" w:hAnsi="Times New Roman" w:cs="Times New Roman"/>
          <w:i w:val="false"/>
          <w:i w:val="false"/>
          <w:iCs w:val="false"/>
        </w:rPr>
      </w:pPr>
      <w:r>
        <w:rPr>
          <w:rFonts w:cs="Times New Roman" w:ascii="Times New Roman" w:hAnsi="Times New Roman"/>
          <w:i w:val="false"/>
          <w:iCs w:val="false"/>
        </w:rPr>
      </w:r>
    </w:p>
    <w:p>
      <w:pPr>
        <w:pStyle w:val="BodyText"/>
        <w:rPr>
          <w:rFonts w:ascii="Times New Roman" w:hAnsi="Times New Roman" w:cs="Times New Roman"/>
          <w:i w:val="false"/>
          <w:i w:val="false"/>
          <w:iCs w:val="false"/>
        </w:rPr>
      </w:pPr>
      <w:r>
        <w:rPr>
          <w:rFonts w:cs="Times New Roman" w:ascii="Times New Roman" w:hAnsi="Times New Roman"/>
          <w:i w:val="false"/>
          <w:iCs w:val="false"/>
          <w:color w:val="000000"/>
        </w:rPr>
        <w:t>ENA has had a number of discussions with municipalities that were contemplating the formation of utilities.  Frank Vickers has the institutional memory on New Mexico.</w:t>
      </w:r>
    </w:p>
    <w:p>
      <w:pPr>
        <w:pStyle w:val="Body"/>
        <w:ind w:start="0" w:end="0"/>
        <w:rPr>
          <w:rFonts w:ascii="Times New Roman" w:hAnsi="Times New Roman" w:cs="Times New Roman"/>
          <w:i/>
          <w:i/>
          <w:iCs/>
          <w:color w:val="000000"/>
        </w:rPr>
      </w:pPr>
      <w:r>
        <w:rPr>
          <w:rFonts w:cs="Times New Roman" w:ascii="Times New Roman" w:hAnsi="Times New Roman"/>
          <w:i/>
          <w:iCs/>
          <w:color w:val="000000"/>
        </w:rPr>
      </w:r>
    </w:p>
    <w:p>
      <w:pPr>
        <w:pStyle w:val="Body"/>
        <w:ind w:start="0" w:end="0"/>
        <w:rPr>
          <w:rFonts w:ascii="Times New Roman" w:hAnsi="Times New Roman" w:cs="Times New Roman"/>
          <w:b/>
          <w:bCs/>
          <w:color w:val="000000"/>
        </w:rPr>
      </w:pPr>
      <w:r>
        <w:rPr>
          <w:rFonts w:cs="Times New Roman" w:ascii="Times New Roman" w:hAnsi="Times New Roman"/>
          <w:b/>
          <w:bCs/>
          <w:color w:val="000000"/>
        </w:rPr>
        <w:t>Regulatory Environment</w:t>
      </w:r>
    </w:p>
    <w:p>
      <w:pPr>
        <w:pStyle w:val="BodyText2"/>
        <w:rPr>
          <w:rFonts w:ascii="Times New Roman" w:hAnsi="Times New Roman" w:cs="Times New Roman"/>
        </w:rPr>
      </w:pPr>
      <w:r>
        <w:rPr>
          <w:rFonts w:cs="Times New Roman" w:ascii="Times New Roman" w:hAnsi="Times New Roman"/>
        </w:rPr>
        <w:t>Deregulation has been delayed by five years.</w:t>
      </w:r>
    </w:p>
    <w:p>
      <w:pPr>
        <w:pStyle w:val="Heading2"/>
        <w:numPr>
          <w:ilvl w:val="0"/>
          <w:numId w:val="10"/>
        </w:numPr>
        <w:rPr>
          <w:rFonts w:ascii="Times New Roman" w:hAnsi="Times New Roman" w:cs="Times New Roman"/>
          <w:color w:val="000000"/>
          <w:sz w:val="20"/>
          <w:u w:val="single"/>
        </w:rPr>
      </w:pPr>
      <w:r>
        <w:rPr>
          <w:rFonts w:cs="Times New Roman" w:ascii="Times New Roman" w:hAnsi="Times New Roman"/>
          <w:color w:val="000000"/>
          <w:sz w:val="20"/>
          <w:u w:val="single"/>
        </w:rPr>
        <w:t>OR</w:t>
      </w:r>
    </w:p>
    <w:p>
      <w:pPr>
        <w:pStyle w:val="Normal"/>
        <w:rPr>
          <w:rFonts w:ascii="Times New Roman" w:hAnsi="Times New Roman" w:cs="Times New Roman"/>
          <w:color w:val="000000"/>
          <w:sz w:val="20"/>
          <w:u w:val="single"/>
        </w:rPr>
      </w:pPr>
      <w:r>
        <w:rPr>
          <w:rFonts w:cs="Times New Roman"/>
          <w:color w:val="000000"/>
          <w:sz w:val="20"/>
          <w:u w:val="single"/>
        </w:rPr>
      </w:r>
    </w:p>
    <w:p>
      <w:pPr>
        <w:pStyle w:val="Heading2"/>
        <w:ind w:hanging="0" w:start="0"/>
        <w:rPr>
          <w:rFonts w:ascii="Times New Roman" w:hAnsi="Times New Roman" w:cs="Times New Roman"/>
          <w:sz w:val="20"/>
        </w:rPr>
      </w:pPr>
      <w:r>
        <w:rPr>
          <w:rFonts w:cs="Times New Roman" w:ascii="Times New Roman" w:hAnsi="Times New Roman"/>
          <w:sz w:val="20"/>
        </w:rPr>
        <w:t>Opportunity</w:t>
      </w:r>
    </w:p>
    <w:p>
      <w:pPr>
        <w:pStyle w:val="Normal"/>
        <w:rPr/>
      </w:pPr>
      <w:r>
        <w:rPr>
          <w:b/>
          <w:bCs/>
          <w:color w:val="000000"/>
          <w:sz w:val="20"/>
        </w:rPr>
        <w:t>PGE</w:t>
      </w:r>
      <w:r>
        <w:rPr>
          <w:color w:val="000000"/>
          <w:sz w:val="20"/>
        </w:rPr>
        <w:t xml:space="preserve"> is responsible for securing default supply for customers that leave their system for alternative suppliers.  PGE can provide default supply itself or find another entity to do so.  While commercial and industrial customers can leave PGE’s system, PGE must provide cost of service-based options to residential and small commercial customers.  A portfolio option must be offered in which green energy must be a component. </w:t>
      </w:r>
    </w:p>
    <w:p>
      <w:pPr>
        <w:pStyle w:val="Normal"/>
        <w:rPr>
          <w:color w:val="000000"/>
          <w:sz w:val="20"/>
        </w:rPr>
      </w:pPr>
      <w:r>
        <w:rPr>
          <w:color w:val="000000"/>
          <w:sz w:val="20"/>
        </w:rPr>
      </w:r>
    </w:p>
    <w:p>
      <w:pPr>
        <w:pStyle w:val="Normal"/>
        <w:rPr>
          <w:b/>
          <w:bCs/>
          <w:color w:val="000000"/>
          <w:sz w:val="20"/>
        </w:rPr>
      </w:pPr>
      <w:r>
        <w:rPr>
          <w:b/>
          <w:bCs/>
          <w:color w:val="000000"/>
          <w:sz w:val="20"/>
        </w:rPr>
        <w:t>Regulatory Environment</w:t>
      </w:r>
    </w:p>
    <w:p>
      <w:pPr>
        <w:pStyle w:val="Normal"/>
        <w:rPr>
          <w:color w:val="000000"/>
          <w:sz w:val="20"/>
        </w:rPr>
      </w:pPr>
      <w:r>
        <w:rPr>
          <w:color w:val="000000"/>
          <w:sz w:val="20"/>
        </w:rPr>
        <w:t xml:space="preserve">A 2-year delay in deregulation is likely. Any transaction with EES or ENA raises significant affiliate issues that will limit EES’ ability to upsell services to captive customers.  </w:t>
      </w:r>
    </w:p>
    <w:p>
      <w:pPr>
        <w:pStyle w:val="Normal"/>
        <w:rPr>
          <w:color w:val="000000"/>
          <w:sz w:val="20"/>
        </w:rPr>
      </w:pPr>
      <w:r>
        <w:rPr>
          <w:color w:val="000000"/>
          <w:sz w:val="20"/>
        </w:rPr>
      </w:r>
    </w:p>
    <w:p>
      <w:pPr>
        <w:pStyle w:val="Heading8"/>
        <w:autoSpaceDE w:val="true"/>
        <w:spacing w:lineRule="auto" w:line="240"/>
        <w:ind w:hanging="0" w:start="0"/>
        <w:rPr>
          <w:szCs w:val="24"/>
        </w:rPr>
      </w:pPr>
      <w:r>
        <w:rPr>
          <w:szCs w:val="24"/>
        </w:rPr>
        <w:t>Political Environment</w:t>
      </w:r>
    </w:p>
    <w:p>
      <w:pPr>
        <w:pStyle w:val="Normal"/>
        <w:rPr>
          <w:color w:val="000000"/>
          <w:sz w:val="20"/>
        </w:rPr>
      </w:pPr>
      <w:r>
        <w:rPr>
          <w:color w:val="000000"/>
          <w:sz w:val="20"/>
        </w:rPr>
        <w:t>PGE has promoted price risk management to the PUC. It is calling for a regular price adjustment rather than rate increase (appeals to large customers).</w:t>
      </w:r>
    </w:p>
    <w:p>
      <w:pPr>
        <w:pStyle w:val="Normal"/>
        <w:rPr>
          <w:color w:val="000000"/>
          <w:sz w:val="20"/>
        </w:rPr>
      </w:pPr>
      <w:r>
        <w:rPr>
          <w:color w:val="000000"/>
          <w:sz w:val="20"/>
        </w:rPr>
      </w:r>
    </w:p>
    <w:p>
      <w:pPr>
        <w:pStyle w:val="Normal"/>
        <w:jc w:val="center"/>
        <w:rPr>
          <w:color w:val="000000"/>
        </w:rPr>
      </w:pPr>
      <w:r>
        <w:rPr>
          <w:color w:val="000000"/>
        </w:rPr>
        <w:t>***</w:t>
      </w:r>
    </w:p>
    <w:p>
      <w:pPr>
        <w:pStyle w:val="Normal"/>
        <w:rPr>
          <w:color w:val="000000"/>
        </w:rPr>
      </w:pPr>
      <w:r>
        <w:rPr>
          <w:color w:val="000000"/>
        </w:rPr>
      </w:r>
    </w:p>
    <w:p>
      <w:pPr>
        <w:pStyle w:val="Heading1"/>
        <w:numPr>
          <w:ilvl w:val="0"/>
          <w:numId w:val="10"/>
        </w:numPr>
        <w:rPr>
          <w:b/>
          <w:bCs/>
          <w:color w:val="000000"/>
          <w:sz w:val="20"/>
        </w:rPr>
      </w:pPr>
      <w:r>
        <w:rPr>
          <w:b/>
          <w:bCs/>
          <w:sz w:val="20"/>
        </w:rPr>
        <w:t>WY</w:t>
      </w:r>
    </w:p>
    <w:p>
      <w:pPr>
        <w:pStyle w:val="Normal"/>
        <w:rPr>
          <w:b/>
          <w:bCs/>
          <w:color w:val="000000"/>
          <w:sz w:val="20"/>
        </w:rPr>
      </w:pPr>
      <w:r>
        <w:rPr>
          <w:b/>
          <w:bCs/>
          <w:color w:val="000000"/>
          <w:sz w:val="20"/>
        </w:rPr>
      </w:r>
    </w:p>
    <w:p>
      <w:pPr>
        <w:pStyle w:val="Normal"/>
        <w:rPr>
          <w:b/>
          <w:bCs/>
          <w:color w:val="000000"/>
          <w:sz w:val="20"/>
        </w:rPr>
      </w:pPr>
      <w:r>
        <w:rPr>
          <w:b/>
          <w:bCs/>
          <w:color w:val="000000"/>
          <w:sz w:val="20"/>
        </w:rPr>
        <w:t>Opportunity</w:t>
      </w:r>
    </w:p>
    <w:p>
      <w:pPr>
        <w:pStyle w:val="Normal"/>
        <w:rPr/>
      </w:pPr>
      <w:r>
        <w:rPr>
          <w:b/>
          <w:bCs/>
          <w:sz w:val="20"/>
        </w:rPr>
        <w:t>Cheyenne Light and Power is net short</w:t>
      </w:r>
      <w:r>
        <w:rPr>
          <w:sz w:val="20"/>
        </w:rPr>
        <w:t>.  They have issued an RFP for supply that was distributed to ENA and EES for informational purposes.  We understand that Cheyenne was formerly a full requirements customer of PacifiCorp.  Substantial rate increases are expected when the short position is filled.</w:t>
      </w:r>
    </w:p>
    <w:p>
      <w:pPr>
        <w:pStyle w:val="Normal"/>
        <w:rPr>
          <w:sz w:val="20"/>
        </w:rPr>
      </w:pPr>
      <w:r>
        <w:rPr>
          <w:sz w:val="20"/>
        </w:rPr>
      </w:r>
    </w:p>
    <w:p>
      <w:pPr>
        <w:pStyle w:val="Heading2"/>
        <w:ind w:hanging="0" w:start="0"/>
        <w:rPr>
          <w:rFonts w:ascii="Times New Roman" w:hAnsi="Times New Roman" w:cs="Times New Roman"/>
          <w:sz w:val="20"/>
        </w:rPr>
      </w:pPr>
      <w:r>
        <w:rPr>
          <w:rFonts w:cs="Times New Roman" w:ascii="Times New Roman" w:hAnsi="Times New Roman"/>
          <w:sz w:val="20"/>
        </w:rPr>
        <w:t>Political Environment</w:t>
      </w:r>
    </w:p>
    <w:p>
      <w:pPr>
        <w:pStyle w:val="BodyText"/>
        <w:rPr>
          <w:rFonts w:ascii="Times New Roman" w:hAnsi="Times New Roman" w:cs="Times New Roman"/>
          <w:i w:val="false"/>
          <w:i w:val="false"/>
          <w:iCs w:val="false"/>
        </w:rPr>
      </w:pPr>
      <w:r>
        <w:rPr>
          <w:rFonts w:cs="Times New Roman" w:ascii="Times New Roman" w:hAnsi="Times New Roman"/>
          <w:i w:val="false"/>
          <w:iCs w:val="false"/>
        </w:rPr>
        <w:t>Enron Government Affairs has reasonable contacts with the Governor’s office.  Political support for a solution to Cheyenne’s problem is likely.  In addition current chair of Wyoming PSC is reasonable.</w:t>
      </w:r>
    </w:p>
    <w:p>
      <w:pPr>
        <w:pStyle w:val="BodyText"/>
        <w:rPr>
          <w:rFonts w:ascii="Times New Roman" w:hAnsi="Times New Roman" w:cs="Times New Roman"/>
          <w:b/>
          <w:bCs/>
          <w:i w:val="false"/>
          <w:i w:val="false"/>
          <w:iCs w:val="false"/>
        </w:rPr>
      </w:pPr>
      <w:r>
        <w:rPr>
          <w:rFonts w:cs="Times New Roman" w:ascii="Times New Roman" w:hAnsi="Times New Roman"/>
          <w:b/>
          <w:bCs/>
          <w:i w:val="false"/>
          <w:iCs w:val="false"/>
        </w:rPr>
      </w:r>
    </w:p>
    <w:p>
      <w:pPr>
        <w:pStyle w:val="BodyText"/>
        <w:rPr>
          <w:rFonts w:ascii="Times New Roman" w:hAnsi="Times New Roman" w:cs="Times New Roman"/>
          <w:i w:val="false"/>
          <w:i w:val="false"/>
          <w:iCs w:val="false"/>
        </w:rPr>
      </w:pPr>
      <w:r>
        <w:rPr>
          <w:rFonts w:cs="Times New Roman" w:ascii="Times New Roman" w:hAnsi="Times New Roman"/>
          <w:b/>
          <w:bCs/>
          <w:i w:val="false"/>
          <w:iCs w:val="false"/>
        </w:rPr>
        <w:t xml:space="preserve">Market </w:t>
      </w:r>
    </w:p>
    <w:p>
      <w:pPr>
        <w:pStyle w:val="BodyText"/>
        <w:rPr>
          <w:rFonts w:ascii="Times New Roman" w:hAnsi="Times New Roman" w:cs="Times New Roman"/>
          <w:i w:val="false"/>
          <w:i w:val="false"/>
          <w:iCs w:val="false"/>
        </w:rPr>
      </w:pPr>
      <w:r>
        <w:rPr>
          <w:rFonts w:cs="Times New Roman" w:ascii="Times New Roman" w:hAnsi="Times New Roman"/>
          <w:i w:val="false"/>
          <w:iCs w:val="false"/>
        </w:rPr>
        <w:t xml:space="preserve">Additional research is necessary to determine load shape, transmission access rates, etc.   No direct access in Wyoming for electric.  Transportation only rates exist for natural gas customers—KN Energy.  </w:t>
      </w:r>
    </w:p>
    <w:p>
      <w:pPr>
        <w:pStyle w:val="Normal"/>
        <w:rPr>
          <w:rFonts w:ascii="Times New Roman" w:hAnsi="Times New Roman" w:cs="Times New Roman"/>
          <w:b/>
          <w:i/>
          <w:i/>
          <w:iCs/>
          <w:color w:val="000000"/>
          <w:sz w:val="20"/>
        </w:rPr>
      </w:pPr>
      <w:r>
        <w:rPr>
          <w:rFonts w:cs="Times New Roman"/>
          <w:b/>
          <w:i/>
          <w:iCs/>
          <w:color w:val="000000"/>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576"/>
        </w:tabs>
        <w:ind w:start="576" w:hanging="432"/>
      </w:pPr>
      <w:rPr>
        <w:rFonts w:ascii="Symbol" w:hAnsi="Symbol" w:cs="Symbol" w:hint="default"/>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7">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576"/>
        </w:tabs>
        <w:ind w:start="576" w:hanging="432"/>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11">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b/>
      <w:bCs/>
      <w:u w:val="single"/>
    </w:rPr>
  </w:style>
  <w:style w:type="paragraph" w:styleId="Heading4">
    <w:name w:val="heading 4"/>
    <w:basedOn w:val="Normal"/>
    <w:next w:val="Normal"/>
    <w:qFormat/>
    <w:pPr>
      <w:keepNext w:val="true"/>
      <w:keepLines/>
      <w:numPr>
        <w:ilvl w:val="3"/>
        <w:numId w:val="1"/>
      </w:numPr>
      <w:autoSpaceDE w:val="false"/>
      <w:spacing w:lineRule="atLeast" w:line="240"/>
      <w:outlineLvl w:val="3"/>
    </w:pPr>
    <w:rPr>
      <w:rFonts w:ascii="Helv" w:hAnsi="Helv" w:cs="Helv"/>
      <w:color w:val="000000"/>
      <w:sz w:val="20"/>
      <w:szCs w:val="20"/>
      <w:u w:val="single"/>
    </w:rPr>
  </w:style>
  <w:style w:type="paragraph" w:styleId="Heading5">
    <w:name w:val="heading 5"/>
    <w:basedOn w:val="Normal"/>
    <w:next w:val="Normal"/>
    <w:qFormat/>
    <w:pPr>
      <w:keepNext w:val="true"/>
      <w:numPr>
        <w:ilvl w:val="4"/>
        <w:numId w:val="1"/>
      </w:numPr>
      <w:outlineLvl w:val="4"/>
    </w:pPr>
    <w:rPr>
      <w:sz w:val="20"/>
      <w:u w:val="single"/>
    </w:rPr>
  </w:style>
  <w:style w:type="paragraph" w:styleId="Heading6">
    <w:name w:val="heading 6"/>
    <w:basedOn w:val="Normal"/>
    <w:next w:val="Normal"/>
    <w:qFormat/>
    <w:pPr>
      <w:keepNext w:val="true"/>
      <w:numPr>
        <w:ilvl w:val="5"/>
        <w:numId w:val="1"/>
      </w:numPr>
      <w:outlineLvl w:val="5"/>
    </w:pPr>
    <w:rPr>
      <w:b/>
      <w:bCs/>
      <w:sz w:val="20"/>
      <w:u w:val="single"/>
    </w:rPr>
  </w:style>
  <w:style w:type="paragraph" w:styleId="Heading7">
    <w:name w:val="heading 7"/>
    <w:basedOn w:val="Normal"/>
    <w:next w:val="Normal"/>
    <w:qFormat/>
    <w:pPr>
      <w:keepNext w:val="true"/>
      <w:numPr>
        <w:ilvl w:val="6"/>
        <w:numId w:val="1"/>
      </w:numPr>
      <w:outlineLvl w:val="6"/>
    </w:pPr>
    <w:rPr>
      <w:i/>
      <w:iCs/>
      <w:sz w:val="20"/>
    </w:rPr>
  </w:style>
  <w:style w:type="paragraph" w:styleId="Heading8">
    <w:name w:val="heading 8"/>
    <w:basedOn w:val="Normal"/>
    <w:next w:val="Normal"/>
    <w:qFormat/>
    <w:pPr>
      <w:keepNext w:val="true"/>
      <w:numPr>
        <w:ilvl w:val="7"/>
        <w:numId w:val="1"/>
      </w:numPr>
      <w:autoSpaceDE w:val="false"/>
      <w:spacing w:lineRule="atLeast" w:line="240"/>
      <w:outlineLvl w:val="7"/>
    </w:pPr>
    <w:rPr>
      <w:b/>
      <w:bCs/>
      <w:color w:val="000000"/>
      <w:sz w:val="20"/>
      <w:szCs w:val="20"/>
    </w:rPr>
  </w:style>
  <w:style w:type="paragraph" w:styleId="Heading9">
    <w:name w:val="heading 9"/>
    <w:basedOn w:val="Normal"/>
    <w:next w:val="Normal"/>
    <w:qFormat/>
    <w:pPr>
      <w:keepNext w:val="true"/>
      <w:numPr>
        <w:ilvl w:val="8"/>
        <w:numId w:val="1"/>
      </w:numPr>
      <w:outlineLvl w:val="8"/>
    </w:pPr>
    <w:rPr>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Wingdings" w:hAnsi="Wingdings" w:cs="Wingdings"/>
      <w:b/>
      <w:i w:val="false"/>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b/>
      <w:i w:val="false"/>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b/>
      <w:i w:val="false"/>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Wingdings" w:hAnsi="Wingdings" w:cs="Wingdings"/>
      <w:b/>
      <w:i w:val="false"/>
    </w:rPr>
  </w:style>
  <w:style w:type="character" w:styleId="WW8Num28z1">
    <w:name w:val="WW8Num28z1"/>
    <w:qFormat/>
    <w:rPr>
      <w:rFonts w:ascii="Symbol" w:hAnsi="Symbol" w:cs="Symbol"/>
    </w:rPr>
  </w:style>
  <w:style w:type="character" w:styleId="WW8Num28z2">
    <w:name w:val="WW8Num28z2"/>
    <w:qFormat/>
    <w:rPr>
      <w:rFonts w:ascii="Wingdings" w:hAnsi="Wingdings" w:cs="Wingdings"/>
    </w:rPr>
  </w:style>
  <w:style w:type="character" w:styleId="WW8Num28z4">
    <w:name w:val="WW8Num28z4"/>
    <w:qFormat/>
    <w:rPr>
      <w:rFonts w:ascii="Courier New" w:hAnsi="Courier New" w:cs="Courier New"/>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b/>
      <w:i w:val="false"/>
    </w:rPr>
  </w:style>
  <w:style w:type="character" w:styleId="WW8Num38z1">
    <w:name w:val="WW8Num38z1"/>
    <w:qFormat/>
    <w:rPr>
      <w:rFonts w:ascii="Symbol" w:hAnsi="Symbol" w:cs="Symbol"/>
    </w:rPr>
  </w:style>
  <w:style w:type="character" w:styleId="WW8Num38z2">
    <w:name w:val="WW8Num38z2"/>
    <w:qFormat/>
    <w:rPr>
      <w:rFonts w:ascii="Wingdings" w:hAnsi="Wingdings" w:cs="Wingdings"/>
    </w:rPr>
  </w:style>
  <w:style w:type="character" w:styleId="WW8Num38z4">
    <w:name w:val="WW8Num38z4"/>
    <w:qFormat/>
    <w:rPr>
      <w:rFonts w:ascii="Courier New" w:hAnsi="Courier New" w:cs="Courier New"/>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Wingdings" w:hAnsi="Wingdings" w:cs="Wingdings"/>
      <w:b/>
      <w:i w:val="false"/>
    </w:rPr>
  </w:style>
  <w:style w:type="character" w:styleId="WW8Num44z1">
    <w:name w:val="WW8Num44z1"/>
    <w:qFormat/>
    <w:rPr>
      <w:rFonts w:ascii="Symbol" w:hAnsi="Symbol" w:cs="Symbol"/>
    </w:rPr>
  </w:style>
  <w:style w:type="character" w:styleId="WW8Num44z2">
    <w:name w:val="WW8Num44z2"/>
    <w:qFormat/>
    <w:rPr>
      <w:rFonts w:ascii="Wingdings" w:hAnsi="Wingdings" w:cs="Wingdings"/>
    </w:rPr>
  </w:style>
  <w:style w:type="character" w:styleId="WW8Num44z4">
    <w:name w:val="WW8Num44z4"/>
    <w:qFormat/>
    <w:rPr>
      <w:rFonts w:ascii="Courier New" w:hAnsi="Courier New" w:cs="Courier New"/>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i/>
      <w:iCs/>
      <w:sz w:val="20"/>
    </w:rPr>
  </w:style>
  <w:style w:type="paragraph" w:styleId="List">
    <w:name w:val="List"/>
    <w:basedOn w:val="BodyText"/>
    <w:pPr/>
    <w:rPr>
      <w:rFonts w:cs="NotoSans NF"/>
    </w:rPr>
  </w:style>
  <w:style w:type="paragraph" w:styleId="Caption">
    <w:name w:val="caption"/>
    <w:basedOn w:val="Normal"/>
    <w:next w:val="Normal"/>
    <w:qFormat/>
    <w:pPr/>
    <w:rPr>
      <w:rFonts w:ascii="Arial Black" w:hAnsi="Arial Black" w:cs="Arial Black"/>
      <w:sz w:val="48"/>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Lines/>
      <w:autoSpaceDE w:val="false"/>
      <w:spacing w:lineRule="atLeast" w:line="240"/>
      <w:ind w:hanging="0" w:start="360" w:end="0"/>
    </w:pPr>
    <w:rPr>
      <w:sz w:val="20"/>
    </w:rPr>
  </w:style>
  <w:style w:type="paragraph" w:styleId="BodyText3">
    <w:name w:val="Body Text 3"/>
    <w:basedOn w:val="Normal"/>
    <w:qFormat/>
    <w:pPr>
      <w:autoSpaceDE w:val="false"/>
      <w:spacing w:lineRule="atLeast" w:line="240"/>
    </w:pPr>
    <w:rPr>
      <w:color w:val="000000"/>
      <w:sz w:val="20"/>
      <w:szCs w:val="20"/>
    </w:rPr>
  </w:style>
  <w:style w:type="paragraph" w:styleId="Body">
    <w:name w:val="Body"/>
    <w:basedOn w:val="Normal"/>
    <w:qFormat/>
    <w:pPr>
      <w:ind w:hanging="0" w:start="72" w:end="0"/>
    </w:pPr>
    <w:rPr>
      <w:rFonts w:ascii="Arial" w:hAnsi="Arial" w:cs="Arial"/>
      <w:color w:val="000080"/>
      <w:sz w:val="20"/>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tabs>
        <w:tab w:val="clear" w:pos="720"/>
        <w:tab w:val="left" w:pos="2640" w:leader="none"/>
      </w:tabs>
      <w:spacing w:lineRule="exact" w:line="320"/>
    </w:pPr>
    <w:rPr>
      <w:rFonts w:ascii="Arial Black" w:hAnsi="Arial Black" w:cs="Arial Black"/>
      <w:spacing w:val="-15"/>
      <w:position w:val="-2"/>
      <w:sz w:val="32"/>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2001-04-13T10:53:00Z</dcterms:created>
  <dc:creator>tchapm2</dc:creator>
  <dc:description/>
  <dc:language>en-CA</dc:language>
  <cp:lastModifiedBy>jthome</cp:lastModifiedBy>
  <cp:lastPrinted>2001-04-11T15:48:00Z</cp:lastPrinted>
  <dcterms:modified xsi:type="dcterms:W3CDTF">2001-04-13T10:53:00Z</dcterms:modified>
  <cp:revision>2</cp:revision>
  <dc:subject/>
  <dc:title>Description of Opportunity: Competitive Default Service</dc:title>
</cp:coreProperties>
</file>