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0" w:end="-360"/>
        <w:jc w:val="center"/>
        <w:rPr>
          <w:lang w:val="en-CA"/>
        </w:rPr>
      </w:pPr>
      <w:r>
        <w:rPr>
          <w:lang w:val="en-CA"/>
        </w:rPr>
        <w:drawing>
          <wp:anchor behindDoc="0" distT="0" distB="0" distL="114935" distR="114935" simplePos="0" locked="0" layoutInCell="0" allowOverlap="1" relativeHeight="2">
            <wp:simplePos x="0" y="0"/>
            <wp:positionH relativeFrom="column">
              <wp:posOffset>457200</wp:posOffset>
            </wp:positionH>
            <wp:positionV relativeFrom="paragraph">
              <wp:posOffset>-457200</wp:posOffset>
            </wp:positionV>
            <wp:extent cx="914400" cy="91440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2" t="-52" r="-52" b="-52"/>
                    <a:stretch>
                      <a:fillRect/>
                    </a:stretch>
                  </pic:blipFill>
                  <pic:spPr bwMode="auto">
                    <a:xfrm>
                      <a:off x="0" y="0"/>
                      <a:ext cx="914400" cy="914400"/>
                    </a:xfrm>
                    <a:prstGeom prst="rect">
                      <a:avLst/>
                    </a:prstGeom>
                    <a:noFill/>
                  </pic:spPr>
                </pic:pic>
              </a:graphicData>
            </a:graphic>
          </wp:anchor>
        </w:drawing>
      </w:r>
      <w:bookmarkStart w:id="0" w:name="xgraphic"/>
      <w:bookmarkStart w:id="1" w:name="xgraphic"/>
      <w:bookmarkEnd w:id="1"/>
    </w:p>
    <w:p>
      <w:pPr>
        <w:pStyle w:val="Normal"/>
        <w:jc w:val="center"/>
        <w:rPr/>
      </w:pPr>
      <w:r>
        <w:rPr/>
      </w:r>
    </w:p>
    <w:p>
      <w:pPr>
        <w:pStyle w:val="Normal"/>
        <w:jc w:val="center"/>
        <w:rPr/>
      </w:pPr>
      <w:r>
        <w:rPr/>
      </w:r>
    </w:p>
    <w:p>
      <w:pPr>
        <w:pStyle w:val="DocumentLabel"/>
        <w:spacing w:lineRule="auto" w:line="240" w:before="0" w:after="0"/>
        <w:ind w:firstLine="720" w:start="720" w:end="0"/>
        <w:jc w:val="center"/>
        <w:rPr>
          <w:b/>
          <w:spacing w:val="0"/>
          <w:sz w:val="28"/>
        </w:rPr>
      </w:pPr>
      <w:bookmarkStart w:id="2" w:name="xgraphic"/>
      <w:bookmarkStart w:id="3" w:name="Title"/>
      <w:bookmarkEnd w:id="2"/>
      <w:bookmarkEnd w:id="3"/>
      <w:r>
        <w:rPr>
          <w:b/>
          <w:spacing w:val="0"/>
          <w:sz w:val="28"/>
        </w:rPr>
        <w:t xml:space="preserve">Enron Engineering &amp; Construction Company </w:t>
      </w:r>
    </w:p>
    <w:p>
      <w:pPr>
        <w:pStyle w:val="DocumentLabel"/>
        <w:spacing w:lineRule="auto" w:line="240" w:before="0" w:after="0"/>
        <w:ind w:firstLine="720" w:start="115" w:end="0"/>
        <w:jc w:val="center"/>
        <w:rPr>
          <w:b/>
          <w:sz w:val="28"/>
          <w:u w:val="single"/>
        </w:rPr>
      </w:pPr>
      <w:r>
        <w:rPr>
          <w:b/>
          <w:spacing w:val="0"/>
          <w:sz w:val="28"/>
          <w:u w:val="single"/>
        </w:rPr>
        <w:t>Interoffice Memo</w:t>
      </w:r>
    </w:p>
    <w:p>
      <w:pPr>
        <w:pStyle w:val="Normal"/>
        <w:rPr>
          <w:b/>
          <w:sz w:val="28"/>
          <w:u w:val="single"/>
        </w:rPr>
      </w:pPr>
      <w:r>
        <w:rPr>
          <w:b/>
          <w:sz w:val="28"/>
          <w:u w:val="single"/>
        </w:rPr>
      </w:r>
    </w:p>
    <w:p>
      <w:pPr>
        <w:pStyle w:val="Normal"/>
        <w:rPr/>
      </w:pPr>
      <w:r>
        <w:rPr/>
      </w:r>
    </w:p>
    <w:p>
      <w:pPr>
        <w:pStyle w:val="MessageHeaderFirst"/>
        <w:spacing w:lineRule="auto" w:line="360"/>
        <w:ind w:hanging="965" w:start="1800" w:end="-360"/>
        <w:rPr>
          <w:sz w:val="24"/>
        </w:rPr>
      </w:pPr>
      <w:bookmarkStart w:id="4" w:name="Title"/>
      <w:bookmarkEnd w:id="4"/>
      <w:r>
        <w:rPr>
          <w:rStyle w:val="MessageHeaderLabel"/>
          <w:rFonts w:cs="Times New Roman"/>
          <w:spacing w:val="0"/>
          <w:sz w:val="24"/>
        </w:rPr>
        <w:t>Date</w:t>
      </w:r>
      <w:r>
        <w:rPr>
          <w:rStyle w:val="MessageHeaderLabel"/>
          <w:rFonts w:cs="Times New Roman"/>
          <w:sz w:val="24"/>
        </w:rPr>
        <w:t>:</w:t>
        <w:tab/>
      </w:r>
      <w:r>
        <w:rPr>
          <w:rStyle w:val="MessageHeaderLabel"/>
          <w:rFonts w:cs="Times New Roman"/>
          <w:b w:val="false"/>
          <w:sz w:val="24"/>
        </w:rPr>
        <w:t>September 25, 2000</w:t>
      </w:r>
    </w:p>
    <w:p>
      <w:pPr>
        <w:pStyle w:val="MessageHeader"/>
        <w:spacing w:lineRule="auto" w:line="360"/>
        <w:ind w:hanging="990" w:start="1800" w:end="-360"/>
        <w:rPr/>
      </w:pPr>
      <w:r>
        <w:rPr>
          <w:rStyle w:val="MessageHeaderLabel"/>
          <w:rFonts w:cs="Times New Roman"/>
          <w:sz w:val="24"/>
        </w:rPr>
        <w:t>To:</w:t>
        <w:tab/>
      </w:r>
      <w:r>
        <w:rPr>
          <w:rStyle w:val="MessageHeaderLabel"/>
          <w:rFonts w:cs="Times New Roman"/>
          <w:b w:val="false"/>
          <w:sz w:val="24"/>
        </w:rPr>
        <w:t>Dave Delainey</w:t>
      </w:r>
    </w:p>
    <w:p>
      <w:pPr>
        <w:pStyle w:val="MessageHeader"/>
        <w:spacing w:lineRule="auto" w:line="240"/>
        <w:ind w:hanging="990" w:start="1800" w:end="-360"/>
        <w:rPr>
          <w:b/>
          <w:sz w:val="24"/>
        </w:rPr>
      </w:pPr>
      <w:r>
        <w:rPr>
          <w:rStyle w:val="MessageHeaderLabel"/>
          <w:rFonts w:cs="Times New Roman"/>
          <w:sz w:val="24"/>
        </w:rPr>
        <w:t>From:</w:t>
        <w:tab/>
      </w:r>
      <w:r>
        <w:rPr>
          <w:rStyle w:val="MessageHeaderLabel"/>
          <w:rFonts w:cs="Times New Roman"/>
          <w:b w:val="false"/>
          <w:sz w:val="24"/>
        </w:rPr>
        <w:t>Dick Westfahl</w:t>
      </w:r>
    </w:p>
    <w:p>
      <w:pPr>
        <w:pStyle w:val="MessageHeader"/>
        <w:spacing w:lineRule="auto" w:line="360"/>
        <w:ind w:hanging="965" w:start="1800" w:end="-360"/>
        <w:rPr>
          <w:sz w:val="24"/>
        </w:rPr>
      </w:pPr>
      <w:r>
        <w:rPr>
          <w:rStyle w:val="MessageHeaderLabel"/>
          <w:rFonts w:cs="Times New Roman"/>
          <w:sz w:val="24"/>
        </w:rPr>
        <w:t>cc:</w:t>
        <w:tab/>
      </w:r>
      <w:r>
        <w:rPr>
          <w:rStyle w:val="MessageHeaderLabel"/>
          <w:rFonts w:cs="Times New Roman"/>
          <w:b w:val="false"/>
          <w:sz w:val="24"/>
        </w:rPr>
        <w:t>Larry Izzo</w:t>
      </w:r>
    </w:p>
    <w:p>
      <w:pPr>
        <w:pStyle w:val="MessageHeaderLast"/>
        <w:pBdr>
          <w:bottom w:val="single" w:sz="6" w:space="6" w:color="000000"/>
        </w:pBdr>
        <w:spacing w:lineRule="auto" w:line="360"/>
        <w:ind w:hanging="965" w:start="1800" w:end="-360"/>
        <w:rPr/>
      </w:pPr>
      <w:r>
        <w:rPr>
          <w:rStyle w:val="MessageHeaderLabel"/>
          <w:rFonts w:cs="Times New Roman"/>
          <w:sz w:val="24"/>
        </w:rPr>
        <w:t>Re:</w:t>
        <w:tab/>
      </w:r>
      <w:r>
        <w:rPr>
          <w:rStyle w:val="MessageHeaderLabel"/>
          <w:rFonts w:cs="Times New Roman"/>
          <w:b w:val="false"/>
          <w:sz w:val="24"/>
        </w:rPr>
        <w:t>Las Vegas Cogen</w:t>
      </w:r>
    </w:p>
    <w:p>
      <w:pPr>
        <w:pStyle w:val="Normal"/>
        <w:spacing w:lineRule="atLeast" w:line="240"/>
        <w:rPr>
          <w:color w:val="000000"/>
          <w:sz w:val="24"/>
          <w:lang w:eastAsia="en-US"/>
        </w:rPr>
      </w:pPr>
      <w:r>
        <w:rPr>
          <w:color w:val="000000"/>
          <w:sz w:val="24"/>
          <w:lang w:eastAsia="en-US"/>
        </w:rPr>
        <w:t>Dave:</w:t>
      </w:r>
    </w:p>
    <w:p>
      <w:pPr>
        <w:pStyle w:val="Normal"/>
        <w:spacing w:lineRule="atLeast" w:line="240"/>
        <w:rPr>
          <w:color w:val="000000"/>
          <w:sz w:val="24"/>
          <w:lang w:eastAsia="en-US"/>
        </w:rPr>
      </w:pPr>
      <w:r>
        <w:rPr>
          <w:color w:val="000000"/>
          <w:sz w:val="24"/>
          <w:lang w:eastAsia="en-US"/>
        </w:rPr>
      </w:r>
    </w:p>
    <w:p>
      <w:pPr>
        <w:pStyle w:val="BlockText"/>
        <w:rPr>
          <w:rFonts w:ascii="Times New Roman" w:hAnsi="Times New Roman" w:cs="Times New Roman"/>
        </w:rPr>
      </w:pPr>
      <w:r>
        <w:rPr>
          <w:rFonts w:cs="Times New Roman" w:ascii="Times New Roman" w:hAnsi="Times New Roman"/>
        </w:rPr>
        <w:t>We are concerned with the ENA team in Portland handling the Las Vegas Cogen deal.  First, NEPCO submitted an EECC internally DASHED, fully guaranteed project estimate of $157M.  The team informed us the project would not work at any cost greater than $140M.  They decided to go out for bid.  We offered to help ENA put the RFP together and be part of their bid evaluation/negotiation team as we did Pittsburgh and VITRO.  They did not want our help and went out for bid on their own.  EECC was not aware that apparently an engineering company by the name of Trimont put the RFP together and has now apparently has been assigned the OE role.  It is unknown who determined the qualified bidder’s list.</w:t>
      </w:r>
    </w:p>
    <w:p>
      <w:pPr>
        <w:pStyle w:val="Normal"/>
        <w:spacing w:lineRule="atLeast" w:line="240" w:before="0" w:after="240"/>
        <w:rPr>
          <w:color w:val="000000"/>
          <w:sz w:val="24"/>
          <w:lang w:eastAsia="en-US"/>
        </w:rPr>
      </w:pPr>
      <w:r>
        <w:rPr>
          <w:color w:val="000000"/>
          <w:sz w:val="24"/>
          <w:lang w:eastAsia="en-US"/>
        </w:rPr>
        <w:t>We understand that two incomplete bids were received.  One, a letter bid from TIC, a good NEPCO competitor, for $154M subject to a "negotiated" deal.  The other bid was from Lauren Engineers and Constructors of Midland, TX with Power Engineers of Hailey, ID, its engineering subcontractor.  Their bid was incomplete, but their base price of $83M (without the turbines $60M) for a total price of $143M was attractive.  EECC was not asked for their due diligence opinion on this contractor who apparently has not been involved in the construction of combined cycle power plants before.</w:t>
      </w:r>
    </w:p>
    <w:p>
      <w:pPr>
        <w:pStyle w:val="Normal"/>
        <w:spacing w:lineRule="atLeast" w:line="240" w:before="0" w:after="240"/>
        <w:rPr>
          <w:color w:val="000000"/>
          <w:sz w:val="24"/>
          <w:lang w:eastAsia="en-US"/>
        </w:rPr>
      </w:pPr>
      <w:r>
        <w:rPr>
          <w:color w:val="000000"/>
          <w:sz w:val="24"/>
          <w:lang w:eastAsia="en-US"/>
        </w:rPr>
        <w:t>We finally received a copy of the bid documents after repeated requests and after ENA had entered into a term sheet agreement with Lauren to do $500K of preliminary work prior to October 6.  We were invited to attend a contract negotiation in Houston this past Wednesday at the last minute and sent a senior contracts specialist.</w:t>
      </w:r>
    </w:p>
    <w:p>
      <w:pPr>
        <w:pStyle w:val="Normal"/>
        <w:spacing w:lineRule="atLeast" w:line="240" w:before="0" w:after="240"/>
        <w:rPr>
          <w:color w:val="000000"/>
          <w:sz w:val="24"/>
          <w:lang w:eastAsia="en-US"/>
        </w:rPr>
      </w:pPr>
      <w:r>
        <w:rPr>
          <w:color w:val="000000"/>
          <w:sz w:val="24"/>
          <w:lang w:eastAsia="en-US"/>
        </w:rPr>
        <w:t xml:space="preserve">ENA and EECC were surprised to learn that Lauren is not prepared to assume the liability (wrap) on the LM6000 GT's.  We also are concerned about their inability to secure additional bonding capacity.  They stated this would "kill" the deal for them.  The meeting broke off at this point.  Lauren is attempting to obtain additional bonding capacity.  </w:t>
      </w:r>
    </w:p>
    <w:p>
      <w:pPr>
        <w:pStyle w:val="BlockText"/>
        <w:spacing w:lineRule="auto" w:line="240" w:before="0" w:after="0"/>
        <w:ind w:start="810" w:end="0"/>
        <w:rPr>
          <w:rFonts w:ascii="Times New Roman" w:hAnsi="Times New Roman" w:cs="Times New Roman"/>
          <w:color w:val="000000"/>
          <w:sz w:val="24"/>
          <w:lang w:eastAsia="en-US"/>
        </w:rPr>
      </w:pPr>
      <w:r>
        <w:rPr>
          <w:rFonts w:cs="Times New Roman" w:ascii="Times New Roman" w:hAnsi="Times New Roman"/>
          <w:color w:val="000000"/>
          <w:sz w:val="24"/>
          <w:lang w:eastAsia="en-US"/>
        </w:rPr>
      </w:r>
    </w:p>
    <w:p>
      <w:pPr>
        <w:pStyle w:val="BlockText"/>
        <w:spacing w:lineRule="auto" w:line="240" w:before="0" w:after="0"/>
        <w:ind w:start="810" w:end="0"/>
        <w:rPr>
          <w:rFonts w:ascii="Times New Roman" w:hAnsi="Times New Roman" w:cs="Times New Roman"/>
        </w:rPr>
      </w:pPr>
      <w:r>
        <w:rPr>
          <w:rFonts w:cs="Times New Roman" w:ascii="Times New Roman" w:hAnsi="Times New Roman"/>
        </w:rPr>
      </w:r>
    </w:p>
    <w:p>
      <w:pPr>
        <w:pStyle w:val="BlockText"/>
        <w:spacing w:lineRule="auto" w:line="240" w:before="0" w:after="0"/>
        <w:ind w:start="810" w:end="0"/>
        <w:rPr>
          <w:rFonts w:ascii="Times New Roman" w:hAnsi="Times New Roman" w:cs="Times New Roman"/>
        </w:rPr>
      </w:pPr>
      <w:r>
        <w:rPr>
          <w:rFonts w:cs="Times New Roman" w:ascii="Times New Roman" w:hAnsi="Times New Roman"/>
        </w:rPr>
        <w:t xml:space="preserve">To summarize, we are very concerned about the process used in this particular project, i.e. refusing EECC involvement from a corporate due diligence standpoint.  We question </w:t>
      </w:r>
    </w:p>
    <w:p>
      <w:pPr>
        <w:pStyle w:val="BlockText"/>
        <w:spacing w:lineRule="auto" w:line="240" w:before="0" w:after="0"/>
        <w:ind w:start="810" w:end="0"/>
        <w:rPr>
          <w:rFonts w:ascii="Times New Roman" w:hAnsi="Times New Roman" w:cs="Times New Roman"/>
        </w:rPr>
      </w:pPr>
      <w:r>
        <w:rPr>
          <w:rFonts w:cs="Times New Roman" w:ascii="Times New Roman" w:hAnsi="Times New Roman"/>
        </w:rPr>
        <w:t>whether Lauren has sufficient financial and experience capability.  It is of particular concern that they are unable to take the EPC wrap on the project.</w:t>
      </w:r>
    </w:p>
    <w:p>
      <w:pPr>
        <w:pStyle w:val="BlockText"/>
        <w:spacing w:lineRule="auto" w:line="240" w:before="0" w:after="0"/>
        <w:ind w:start="810" w:end="0"/>
        <w:rPr>
          <w:rFonts w:ascii="Times New Roman" w:hAnsi="Times New Roman" w:cs="Times New Roman"/>
        </w:rPr>
      </w:pPr>
      <w:r>
        <w:rPr>
          <w:rFonts w:cs="Times New Roman" w:ascii="Times New Roman" w:hAnsi="Times New Roman"/>
        </w:rPr>
      </w:r>
    </w:p>
    <w:p>
      <w:pPr>
        <w:pStyle w:val="BlockText"/>
        <w:spacing w:lineRule="auto" w:line="240" w:before="0" w:after="0"/>
        <w:ind w:start="810" w:end="0"/>
        <w:rPr>
          <w:rFonts w:ascii="Times New Roman" w:hAnsi="Times New Roman" w:cs="Times New Roman"/>
        </w:rPr>
      </w:pPr>
      <w:r>
        <w:rPr>
          <w:rFonts w:cs="Times New Roman" w:ascii="Times New Roman" w:hAnsi="Times New Roman"/>
        </w:rPr>
        <w:t>It is my understanding that although this project has received RAC approval for the initial $4MM of development costs, it has not been fully DASHED with RAC (RAC normally solicits an EECC signature on the DASH).  At this time, EECC refuses to agree that Lauren is a qualified contractor even if they are bonded and we request that the LNTP be cancelled as soon as possible.</w:t>
      </w:r>
    </w:p>
    <w:p>
      <w:pPr>
        <w:pStyle w:val="BlockText"/>
        <w:spacing w:lineRule="auto" w:line="240" w:before="0" w:after="0"/>
        <w:ind w:start="810" w:end="0"/>
        <w:rPr>
          <w:rFonts w:ascii="Times New Roman" w:hAnsi="Times New Roman" w:cs="Times New Roman"/>
        </w:rPr>
      </w:pPr>
      <w:r>
        <w:rPr>
          <w:rFonts w:cs="Times New Roman" w:ascii="Times New Roman" w:hAnsi="Times New Roman"/>
        </w:rPr>
      </w:r>
    </w:p>
    <w:p>
      <w:pPr>
        <w:pStyle w:val="Normal"/>
        <w:ind w:start="810" w:end="0"/>
        <w:rPr>
          <w:color w:val="000000"/>
          <w:sz w:val="24"/>
          <w:lang w:eastAsia="en-US"/>
        </w:rPr>
      </w:pPr>
      <w:r>
        <w:rPr>
          <w:color w:val="000000"/>
          <w:sz w:val="24"/>
          <w:lang w:eastAsia="en-US"/>
        </w:rPr>
        <w:t xml:space="preserve">Dave - another consideration for allowing NEPCO to do this project is that it would enhance NEPCO's backlog hence the possible value of the sale.  </w:t>
      </w:r>
    </w:p>
    <w:p>
      <w:pPr>
        <w:pStyle w:val="Normal"/>
        <w:spacing w:lineRule="atLeast" w:line="240" w:before="0" w:after="240"/>
        <w:rPr>
          <w:color w:val="000000"/>
          <w:sz w:val="24"/>
          <w:lang w:eastAsia="en-US"/>
        </w:rPr>
      </w:pPr>
      <w:r>
        <w:rPr>
          <w:color w:val="000000"/>
          <w:sz w:val="24"/>
          <w:lang w:eastAsia="en-US"/>
        </w:rPr>
      </w:r>
    </w:p>
    <w:p>
      <w:pPr>
        <w:pStyle w:val="Normal"/>
        <w:spacing w:lineRule="atLeast" w:line="240" w:before="0" w:after="240"/>
        <w:rPr>
          <w:color w:val="000000"/>
          <w:sz w:val="24"/>
          <w:lang w:eastAsia="en-US"/>
        </w:rPr>
      </w:pPr>
      <w:r>
        <w:rPr>
          <w:color w:val="000000"/>
          <w:sz w:val="24"/>
          <w:lang w:eastAsia="en-US"/>
        </w:rPr>
      </w:r>
    </w:p>
    <w:p>
      <w:pPr>
        <w:pStyle w:val="Normal"/>
        <w:spacing w:lineRule="atLeast" w:line="240" w:before="0" w:after="240"/>
        <w:rPr>
          <w:color w:val="000000"/>
          <w:sz w:val="24"/>
          <w:lang w:eastAsia="en-US"/>
        </w:rPr>
      </w:pPr>
      <w:r>
        <w:rPr>
          <w:color w:val="000000"/>
          <w:sz w:val="24"/>
          <w:lang w:eastAsia="en-US"/>
        </w:rPr>
      </w:r>
    </w:p>
    <w:p>
      <w:pPr>
        <w:pStyle w:val="Normal"/>
        <w:spacing w:lineRule="atLeast" w:line="240" w:before="0" w:after="240"/>
        <w:rPr>
          <w:color w:val="000000"/>
          <w:sz w:val="24"/>
          <w:lang w:eastAsia="en-US"/>
        </w:rPr>
      </w:pPr>
      <w:r>
        <w:rPr>
          <w:color w:val="000000"/>
          <w:sz w:val="24"/>
          <w:lang w:eastAsia="en-US"/>
        </w:rPr>
      </w:r>
    </w:p>
    <w:p>
      <w:pPr>
        <w:pStyle w:val="Normal"/>
        <w:spacing w:lineRule="atLeast" w:line="240" w:before="0" w:after="240"/>
        <w:rPr>
          <w:color w:val="000000"/>
          <w:sz w:val="24"/>
          <w:lang w:eastAsia="en-US"/>
        </w:rPr>
      </w:pPr>
      <w:r>
        <w:rPr>
          <w:color w:val="000000"/>
          <w:sz w:val="24"/>
          <w:lang w:eastAsia="en-US"/>
        </w:rPr>
      </w:r>
    </w:p>
    <w:p>
      <w:pPr>
        <w:pStyle w:val="Normal"/>
        <w:spacing w:lineRule="atLeast" w:line="240" w:before="0" w:after="240"/>
        <w:rPr>
          <w:color w:val="000000"/>
          <w:sz w:val="24"/>
          <w:lang w:eastAsia="en-US"/>
        </w:rPr>
      </w:pPr>
      <w:r>
        <w:rPr>
          <w:color w:val="000000"/>
          <w:sz w:val="24"/>
          <w:lang w:eastAsia="en-US"/>
        </w:rPr>
      </w:r>
    </w:p>
    <w:p>
      <w:pPr>
        <w:pStyle w:val="BodyText"/>
        <w:spacing w:lineRule="auto" w:line="240" w:before="0" w:after="0"/>
        <w:ind w:start="0" w:end="0"/>
        <w:rPr>
          <w:b/>
          <w:color w:val="000000"/>
          <w:sz w:val="24"/>
          <w:u w:val="single"/>
          <w:lang w:eastAsia="en-US"/>
        </w:rPr>
      </w:pPr>
      <w:r>
        <w:rPr>
          <w:b/>
          <w:color w:val="000000"/>
          <w:sz w:val="24"/>
          <w:u w:val="single"/>
          <w:lang w:eastAsia="en-US"/>
        </w:rPr>
      </w:r>
    </w:p>
    <w:sectPr>
      <w:headerReference w:type="default" r:id="rId3"/>
      <w:headerReference w:type="first" r:id="rId4"/>
      <w:type w:val="nextPage"/>
      <w:pgSz w:w="12240" w:h="15840"/>
      <w:pgMar w:left="720" w:right="2160" w:gutter="0" w:header="720" w:top="1440" w:footer="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left" w:pos="-1080" w:leader="none"/>
        <w:tab w:val="center" w:pos="270" w:leader="none"/>
        <w:tab w:val="left" w:pos="540" w:leader="none"/>
        <w:tab w:val="left" w:pos="810" w:leader="none"/>
        <w:tab w:val="right" w:pos="9480" w:leader="none"/>
      </w:tabs>
      <w:rPr/>
    </w:pPr>
    <w:r>
      <w:rPr/>
      <w:tab/>
      <w:tab/>
      <w:tab/>
      <w:tab/>
      <w:tab/>
      <w:tab/>
      <w:tab/>
      <w:tab/>
    </w:r>
    <w:r>
      <w:rPr>
        <w:rFonts w:cs="Times New Roman" w:ascii="Times New Roman" w:hAnsi="Times New Roman"/>
        <w:i w:val="false"/>
      </w:rPr>
      <w:t>Dave Delainey</w:t>
    </w:r>
  </w:p>
  <w:p>
    <w:pPr>
      <w:pStyle w:val="Header"/>
      <w:tabs>
        <w:tab w:val="clear" w:pos="4320"/>
        <w:tab w:val="left" w:pos="-1080" w:leader="none"/>
        <w:tab w:val="center" w:pos="270" w:leader="none"/>
        <w:tab w:val="left" w:pos="810" w:leader="none"/>
        <w:tab w:val="right" w:pos="9480" w:leader="none"/>
      </w:tabs>
      <w:rPr>
        <w:rFonts w:ascii="Times New Roman" w:hAnsi="Times New Roman" w:cs="Times New Roman"/>
        <w:i w:val="false"/>
        <w:i w:val="false"/>
      </w:rPr>
    </w:pPr>
    <w:r>
      <w:rPr>
        <w:rFonts w:cs="Times New Roman" w:ascii="Times New Roman" w:hAnsi="Times New Roman"/>
        <w:i w:val="false"/>
      </w:rPr>
      <w:tab/>
      <w:tab/>
      <w:t>September 25, 2000</w:t>
    </w:r>
  </w:p>
  <w:p>
    <w:pPr>
      <w:pStyle w:val="Header"/>
      <w:tabs>
        <w:tab w:val="clear" w:pos="4320"/>
        <w:tab w:val="left" w:pos="-1080" w:leader="none"/>
        <w:tab w:val="center" w:pos="270" w:leader="none"/>
        <w:tab w:val="left" w:pos="810" w:leader="none"/>
        <w:tab w:val="right" w:pos="9480" w:leader="none"/>
      </w:tabs>
      <w:rPr/>
    </w:pPr>
    <w:r>
      <w:rPr>
        <w:rFonts w:cs="Times New Roman" w:ascii="Times New Roman" w:hAnsi="Times New Roman"/>
        <w:i w:val="false"/>
      </w:rPr>
      <w:tab/>
      <w:tab/>
      <w:t>Page Two</w:t>
    </w: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MemoStyle" w:val="1"/>
    <w:docVar w:name="Memo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paragraph" w:styleId="BlockText">
    <w:name w:val="Block Text"/>
    <w:basedOn w:val="Normal"/>
    <w:qFormat/>
    <w:pPr>
      <w:spacing w:lineRule="atLeast" w:line="240" w:before="0" w:after="240"/>
    </w:pPr>
    <w:rPr>
      <w:rFonts w:ascii="Helv" w:hAnsi="Helv" w:cs="Helv"/>
      <w:color w:val="000000"/>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 Wizard.wiz</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2000-09-25T10:20:00Z</dcterms:created>
  <dc:creator>Microsoft Corporation</dc:creator>
  <dc:description/>
  <dc:language>en-CA</dc:language>
  <cp:lastModifiedBy>cvaldez</cp:lastModifiedBy>
  <cp:lastPrinted>2000-09-25T07:51:00Z</cp:lastPrinted>
  <dcterms:modified xsi:type="dcterms:W3CDTF">2000-09-25T10:24:00Z</dcterms:modified>
  <cp:revision>4</cp:revision>
  <dc:subject>Development Projects Priority List</dc:subject>
  <dc:title>interoffice memo</dc:title>
</cp:coreProperties>
</file>