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00"/>
          <w:sz w:val="28"/>
          <w:u w:val="single"/>
        </w:rPr>
        <w:t>“</w:t>
      </w:r>
      <w:r>
        <w:rPr>
          <w:color w:val="000000"/>
          <w:sz w:val="28"/>
          <w:u w:val="single"/>
        </w:rPr>
        <w:t>Adjusted Debt Service”</w:t>
      </w:r>
      <w:r>
        <w:rPr>
          <w:color w:val="000000"/>
          <w:sz w:val="28"/>
        </w:rPr>
        <w:t xml:space="preserve">   means Debt Service </w:t>
      </w:r>
      <w:r>
        <w:rPr>
          <w:color w:val="000000"/>
          <w:sz w:val="28"/>
          <w:u w:val="single"/>
        </w:rPr>
        <w:t>less</w:t>
      </w:r>
      <w:r>
        <w:rPr>
          <w:color w:val="000000"/>
          <w:sz w:val="28"/>
        </w:rPr>
        <w:t xml:space="preserve"> eighty percent (80%) of Excess Cash Flow.  </w:t>
      </w:r>
    </w:p>
    <w:p>
      <w:pPr>
        <w:pStyle w:val="Normal"/>
        <w:rPr>
          <w:color w:val="000000"/>
          <w:sz w:val="28"/>
        </w:rPr>
      </w:pPr>
      <w:r>
        <w:rPr>
          <w:color w:val="000000"/>
          <w:sz w:val="28"/>
        </w:rPr>
      </w:r>
    </w:p>
    <w:p>
      <w:pPr>
        <w:pStyle w:val="Normal"/>
        <w:jc w:val="both"/>
        <w:rPr/>
      </w:pPr>
      <w:r>
        <w:rPr>
          <w:color w:val="000000"/>
          <w:sz w:val="28"/>
        </w:rPr>
        <w:t>“</w:t>
      </w:r>
      <w:r>
        <w:rPr>
          <w:color w:val="000000"/>
          <w:sz w:val="28"/>
          <w:u w:val="single"/>
        </w:rPr>
        <w:t>Annual Period</w:t>
      </w:r>
      <w:r>
        <w:rPr>
          <w:color w:val="000000"/>
          <w:sz w:val="28"/>
        </w:rPr>
        <w:t>”   means the twelve (12) month period ending December 31</w:t>
      </w:r>
      <w:r>
        <w:rPr>
          <w:color w:val="000000"/>
          <w:sz w:val="28"/>
          <w:vertAlign w:val="superscript"/>
        </w:rPr>
        <w:t>st</w:t>
      </w:r>
      <w:r>
        <w:rPr>
          <w:color w:val="000000"/>
          <w:sz w:val="28"/>
        </w:rPr>
        <w:t xml:space="preserve"> of each calendar year.  </w:t>
      </w:r>
    </w:p>
    <w:p>
      <w:pPr>
        <w:pStyle w:val="Normal"/>
        <w:jc w:val="both"/>
        <w:rPr>
          <w:color w:val="000000"/>
          <w:sz w:val="28"/>
        </w:rPr>
      </w:pPr>
      <w:r>
        <w:rPr>
          <w:color w:val="000000"/>
          <w:sz w:val="28"/>
        </w:rPr>
      </w:r>
    </w:p>
    <w:p>
      <w:pPr>
        <w:pStyle w:val="Normal"/>
        <w:jc w:val="both"/>
        <w:rPr/>
      </w:pPr>
      <w:r>
        <w:rPr>
          <w:color w:val="000000"/>
          <w:sz w:val="28"/>
          <w:u w:val="single"/>
        </w:rPr>
        <w:t>“</w:t>
      </w:r>
      <w:r>
        <w:rPr>
          <w:color w:val="000000"/>
          <w:sz w:val="28"/>
          <w:u w:val="single"/>
        </w:rPr>
        <w:t>CFC”</w:t>
      </w:r>
      <w:r>
        <w:rPr>
          <w:color w:val="000000"/>
          <w:sz w:val="28"/>
        </w:rPr>
        <w:t xml:space="preserve">   means the National Rural Utilities Cooperative Finance Corporation.  </w:t>
      </w:r>
    </w:p>
    <w:p>
      <w:pPr>
        <w:pStyle w:val="Normal"/>
        <w:jc w:val="both"/>
        <w:rPr>
          <w:color w:val="000000"/>
          <w:sz w:val="28"/>
        </w:rPr>
      </w:pPr>
      <w:r>
        <w:rPr>
          <w:color w:val="000000"/>
          <w:sz w:val="28"/>
        </w:rPr>
      </w:r>
    </w:p>
    <w:p>
      <w:pPr>
        <w:pStyle w:val="Normal"/>
        <w:jc w:val="both"/>
        <w:rPr/>
      </w:pPr>
      <w:r>
        <w:rPr>
          <w:color w:val="000000"/>
          <w:sz w:val="28"/>
          <w:u w:val="single"/>
        </w:rPr>
        <w:t>“</w:t>
      </w:r>
      <w:r>
        <w:rPr>
          <w:color w:val="000000"/>
          <w:sz w:val="28"/>
          <w:u w:val="single"/>
        </w:rPr>
        <w:t>CFC Debt”</w:t>
      </w:r>
      <w:r>
        <w:rPr>
          <w:color w:val="000000"/>
          <w:sz w:val="28"/>
        </w:rPr>
        <w:t xml:space="preserve">   means the debt obligations associated with the October 16, 1996 Obligations Restructuring Agreement among the Counterparty and the CFC.  </w:t>
      </w:r>
    </w:p>
    <w:p>
      <w:pPr>
        <w:pStyle w:val="Normal"/>
        <w:jc w:val="both"/>
        <w:rPr>
          <w:color w:val="000000"/>
          <w:sz w:val="28"/>
        </w:rPr>
      </w:pPr>
      <w:r>
        <w:rPr>
          <w:color w:val="000000"/>
          <w:sz w:val="28"/>
        </w:rPr>
      </w:r>
    </w:p>
    <w:p>
      <w:pPr>
        <w:pStyle w:val="Normal"/>
        <w:jc w:val="both"/>
        <w:rPr/>
      </w:pPr>
      <w:r>
        <w:rPr>
          <w:color w:val="000000"/>
          <w:sz w:val="28"/>
        </w:rPr>
        <w:t>“</w:t>
      </w:r>
      <w:r>
        <w:rPr>
          <w:color w:val="000000"/>
          <w:sz w:val="28"/>
          <w:u w:val="single"/>
        </w:rPr>
        <w:t>Cash Flow</w:t>
      </w:r>
      <w:r>
        <w:rPr>
          <w:color w:val="000000"/>
          <w:sz w:val="28"/>
        </w:rPr>
        <w:t xml:space="preserve"> ”   means for each Quarterly Period, and Annual Period the sum (without duplication) of Net Income, </w:t>
      </w:r>
      <w:r>
        <w:rPr>
          <w:color w:val="000000"/>
          <w:sz w:val="28"/>
          <w:u w:val="single"/>
        </w:rPr>
        <w:t>plus</w:t>
      </w:r>
      <w:r>
        <w:rPr>
          <w:color w:val="000000"/>
          <w:sz w:val="28"/>
        </w:rPr>
        <w:t xml:space="preserve"> (i) Interest Expense, (ii) depreciation and amortization, and (iii) other non-cash charges, to the extent deducted in determining Net Income, all as determined in accordance with GAAP.</w:t>
      </w:r>
    </w:p>
    <w:p>
      <w:pPr>
        <w:pStyle w:val="Normal"/>
        <w:jc w:val="both"/>
        <w:rPr>
          <w:color w:val="000000"/>
          <w:sz w:val="28"/>
        </w:rPr>
      </w:pPr>
      <w:r>
        <w:rPr>
          <w:color w:val="000000"/>
          <w:sz w:val="28"/>
        </w:rPr>
      </w:r>
    </w:p>
    <w:p>
      <w:pPr>
        <w:pStyle w:val="Normal"/>
        <w:jc w:val="both"/>
        <w:rPr/>
      </w:pPr>
      <w:r>
        <w:rPr>
          <w:color w:val="000000"/>
          <w:sz w:val="28"/>
          <w:u w:val="single"/>
        </w:rPr>
        <w:t>“</w:t>
      </w:r>
      <w:r>
        <w:rPr>
          <w:color w:val="000000"/>
          <w:sz w:val="28"/>
          <w:u w:val="single"/>
        </w:rPr>
        <w:t>Debt Service”</w:t>
      </w:r>
      <w:r>
        <w:rPr>
          <w:color w:val="000000"/>
          <w:sz w:val="28"/>
        </w:rPr>
        <w:t xml:space="preserve">   means, (i) the Minimum Payment, as presented in Schedule A of Annex B, (ii) scheduled principal payments and Interest Expense associated with the Counterparty’s Funded Debt, as presented in Schedule B of Annex B, less the Minimum Payment, and (iii) rent payments associated with the Counterparty’s capital lease and operating lease obligations, as presented in Schedule C of Annex B.  </w:t>
      </w:r>
    </w:p>
    <w:p>
      <w:pPr>
        <w:pStyle w:val="Normal"/>
        <w:jc w:val="both"/>
        <w:rPr>
          <w:color w:val="000000"/>
          <w:sz w:val="28"/>
        </w:rPr>
      </w:pPr>
      <w:r>
        <w:rPr>
          <w:color w:val="000000"/>
          <w:sz w:val="28"/>
        </w:rPr>
      </w:r>
    </w:p>
    <w:p>
      <w:pPr>
        <w:pStyle w:val="Normal"/>
        <w:jc w:val="both"/>
        <w:rPr/>
      </w:pPr>
      <w:r>
        <w:rPr>
          <w:color w:val="000000"/>
          <w:sz w:val="28"/>
          <w:u w:val="single"/>
        </w:rPr>
        <w:t>“</w:t>
      </w:r>
      <w:r>
        <w:rPr>
          <w:color w:val="000000"/>
          <w:sz w:val="28"/>
          <w:u w:val="single"/>
        </w:rPr>
        <w:t>Excess Cash Flow”</w:t>
      </w:r>
      <w:r>
        <w:rPr>
          <w:color w:val="000000"/>
          <w:sz w:val="28"/>
        </w:rPr>
        <w:t xml:space="preserve">   means for any calendar year, the positive difference of (i) Cash Flow for such year less (ii) the sum of (x) Debt Service for such calendar year, and (y) such additions to working capital or reserves as may be approved in writing by CFC pursuant to the October 16, 1996 Obligations Restructuring Agreement.  </w:t>
      </w:r>
    </w:p>
    <w:p>
      <w:pPr>
        <w:pStyle w:val="Normal"/>
        <w:jc w:val="both"/>
        <w:rPr>
          <w:color w:val="000000"/>
          <w:sz w:val="28"/>
        </w:rPr>
      </w:pPr>
      <w:r>
        <w:rPr>
          <w:color w:val="000000"/>
          <w:sz w:val="28"/>
        </w:rPr>
      </w:r>
    </w:p>
    <w:p>
      <w:pPr>
        <w:pStyle w:val="Normal"/>
        <w:jc w:val="both"/>
        <w:rPr/>
      </w:pPr>
      <w:r>
        <w:rPr>
          <w:color w:val="000000"/>
          <w:sz w:val="28"/>
          <w:u w:val="single"/>
        </w:rPr>
        <w:t>“</w:t>
      </w:r>
      <w:r>
        <w:rPr>
          <w:color w:val="000000"/>
          <w:sz w:val="28"/>
          <w:u w:val="single"/>
        </w:rPr>
        <w:t>Material Adverse Change”</w:t>
      </w:r>
      <w:r>
        <w:rPr>
          <w:color w:val="000000"/>
          <w:sz w:val="28"/>
        </w:rPr>
        <w:t xml:space="preserve">   means (a) with respect to Counterparty, it shall have any of the following occur at any time: (i) the ratio of its Cash Flow to Adjusted Debt Service is less than 1.1 to 1.0, or (ii) the Counterparty is not in compliance with any of its financial covenants governing any portion of its Funded Debt; or (b) with respect to ENA, Enron Corp.’s Credit Rating is below BBB- by S&amp;P.  </w:t>
      </w:r>
    </w:p>
    <w:p>
      <w:pPr>
        <w:pStyle w:val="Normal"/>
        <w:jc w:val="both"/>
        <w:rPr>
          <w:color w:val="000000"/>
          <w:sz w:val="28"/>
        </w:rPr>
      </w:pPr>
      <w:r>
        <w:rPr>
          <w:color w:val="000000"/>
          <w:sz w:val="28"/>
        </w:rPr>
      </w:r>
    </w:p>
    <w:p>
      <w:pPr>
        <w:pStyle w:val="Normal"/>
        <w:jc w:val="both"/>
        <w:rPr/>
      </w:pPr>
      <w:r>
        <w:rPr>
          <w:color w:val="000000"/>
          <w:sz w:val="28"/>
          <w:u w:val="single"/>
        </w:rPr>
        <w:t>“</w:t>
      </w:r>
      <w:r>
        <w:rPr>
          <w:color w:val="000000"/>
          <w:sz w:val="28"/>
          <w:u w:val="single"/>
        </w:rPr>
        <w:t>Minimum Payment Adjustment”</w:t>
      </w:r>
      <w:r>
        <w:rPr>
          <w:color w:val="000000"/>
          <w:sz w:val="28"/>
        </w:rPr>
        <w:t xml:space="preserve">   means an adjustment to the Minimum Payment made in accordance with Section 2.05 (b) of the October 16, 1996 Obligations Restructuring Agreement among the CFC and the Counterparty   </w:t>
      </w:r>
    </w:p>
    <w:p>
      <w:pPr>
        <w:pStyle w:val="Normal"/>
        <w:jc w:val="both"/>
        <w:rPr>
          <w:color w:val="000000"/>
          <w:sz w:val="28"/>
        </w:rPr>
      </w:pPr>
      <w:r>
        <w:rPr>
          <w:color w:val="000000"/>
          <w:sz w:val="28"/>
        </w:rPr>
      </w:r>
    </w:p>
    <w:p>
      <w:pPr>
        <w:pStyle w:val="Normal"/>
        <w:jc w:val="both"/>
        <w:rPr/>
      </w:pPr>
      <w:r>
        <w:rPr>
          <w:color w:val="000000"/>
          <w:sz w:val="28"/>
          <w:u w:val="single"/>
        </w:rPr>
        <w:t>“</w:t>
      </w:r>
      <w:r>
        <w:rPr>
          <w:color w:val="000000"/>
          <w:sz w:val="28"/>
          <w:u w:val="single"/>
        </w:rPr>
        <w:t>Minimum Payment Adjustment Certificate”</w:t>
      </w:r>
      <w:r>
        <w:rPr>
          <w:color w:val="000000"/>
          <w:sz w:val="28"/>
        </w:rPr>
        <w:t xml:space="preserve"> means the certificate(s) of the General Manager of the Counterparty that are provided to the CFC and which is referred to in Section 2.05 of the October 16, 1996 Obligations Restructuring Agreement among the CFC and the Counterparty.  </w:t>
      </w:r>
    </w:p>
    <w:p>
      <w:pPr>
        <w:pStyle w:val="Normal"/>
        <w:jc w:val="both"/>
        <w:rPr>
          <w:color w:val="000000"/>
          <w:sz w:val="28"/>
        </w:rPr>
      </w:pPr>
      <w:r>
        <w:rPr>
          <w:color w:val="000000"/>
          <w:sz w:val="28"/>
        </w:rPr>
      </w:r>
    </w:p>
    <w:p>
      <w:pPr>
        <w:pStyle w:val="Normal"/>
        <w:jc w:val="both"/>
        <w:rPr/>
      </w:pPr>
      <w:r>
        <w:rPr>
          <w:color w:val="000000"/>
          <w:sz w:val="28"/>
          <w:u w:val="single"/>
        </w:rPr>
        <w:t>“</w:t>
      </w:r>
      <w:r>
        <w:rPr>
          <w:color w:val="000000"/>
          <w:sz w:val="28"/>
          <w:u w:val="single"/>
        </w:rPr>
        <w:t>Minimum Payment”</w:t>
      </w:r>
      <w:r>
        <w:rPr>
          <w:color w:val="000000"/>
          <w:sz w:val="28"/>
        </w:rPr>
        <w:t xml:space="preserve">   means the Minimum Payment noted in Schedule A of Annex B.   It being understood that such Minimum Payment is due in four equal quarterly payments, each quarterly payment equal to twenty-five percent (25%) of the Minimum Payment noted in Schedule A, with a quarterly payment due on each Quarterly Period and Annual Period. The Minimum Payment may be adjusted by the Minimum Payment Adjustment upon receipt, review and approval by ENA of the Minimum Payment Adjustment Certificate.</w:t>
      </w:r>
    </w:p>
    <w:p>
      <w:pPr>
        <w:pStyle w:val="Normal"/>
        <w:jc w:val="both"/>
        <w:rPr>
          <w:color w:val="000000"/>
          <w:sz w:val="28"/>
        </w:rPr>
      </w:pPr>
      <w:r>
        <w:rPr>
          <w:color w:val="000000"/>
          <w:sz w:val="28"/>
        </w:rPr>
      </w:r>
    </w:p>
    <w:p>
      <w:pPr>
        <w:pStyle w:val="Normal"/>
        <w:jc w:val="both"/>
        <w:rPr/>
      </w:pPr>
      <w:r>
        <w:rPr>
          <w:color w:val="000000"/>
          <w:sz w:val="28"/>
          <w:u w:val="single"/>
        </w:rPr>
        <w:t>“</w:t>
      </w:r>
      <w:r>
        <w:rPr>
          <w:color w:val="000000"/>
          <w:sz w:val="28"/>
          <w:u w:val="single"/>
        </w:rPr>
        <w:t>Quarterly Period”</w:t>
      </w:r>
      <w:r>
        <w:rPr>
          <w:color w:val="000000"/>
          <w:sz w:val="28"/>
        </w:rPr>
        <w:t xml:space="preserve">   means the three (3) month periods ending March 31</w:t>
      </w:r>
      <w:r>
        <w:rPr>
          <w:color w:val="000000"/>
          <w:sz w:val="28"/>
          <w:vertAlign w:val="superscript"/>
        </w:rPr>
        <w:t>st</w:t>
      </w:r>
      <w:r>
        <w:rPr>
          <w:color w:val="000000"/>
          <w:sz w:val="28"/>
        </w:rPr>
        <w:t>, June 30</w:t>
      </w:r>
      <w:r>
        <w:rPr>
          <w:color w:val="000000"/>
          <w:sz w:val="28"/>
          <w:vertAlign w:val="superscript"/>
        </w:rPr>
        <w:t>th</w:t>
      </w:r>
      <w:r>
        <w:rPr>
          <w:color w:val="000000"/>
          <w:sz w:val="28"/>
        </w:rPr>
        <w:t>, and September 30</w:t>
      </w:r>
      <w:r>
        <w:rPr>
          <w:color w:val="000000"/>
          <w:sz w:val="28"/>
          <w:vertAlign w:val="superscript"/>
        </w:rPr>
        <w:t>th</w:t>
      </w:r>
      <w:r>
        <w:rPr>
          <w:color w:val="000000"/>
          <w:sz w:val="28"/>
        </w:rPr>
        <w:t xml:space="preserve">.  </w:t>
      </w:r>
    </w:p>
    <w:p>
      <w:pPr>
        <w:pStyle w:val="Normal"/>
        <w:jc w:val="both"/>
        <w:rPr>
          <w:color w:val="000000"/>
          <w:sz w:val="28"/>
        </w:rPr>
      </w:pPr>
      <w:r>
        <w:rPr>
          <w:color w:val="000000"/>
          <w:sz w:val="28"/>
        </w:rPr>
      </w:r>
    </w:p>
    <w:p>
      <w:pPr>
        <w:pStyle w:val="Normal"/>
        <w:jc w:val="both"/>
        <w:rPr>
          <w:color w:val="000000"/>
          <w:sz w:val="28"/>
        </w:rPr>
      </w:pPr>
      <w:r>
        <w:rPr>
          <w:color w:val="000000"/>
          <w:sz w:val="28"/>
        </w:rPr>
      </w:r>
    </w:p>
    <w:p>
      <w:pPr>
        <w:pStyle w:val="Normal"/>
        <w:jc w:val="both"/>
        <w:rPr>
          <w:color w:val="000000"/>
          <w:sz w:val="28"/>
        </w:rPr>
      </w:pPr>
      <w:r>
        <w:rPr>
          <w:color w:val="000000"/>
          <w:sz w:val="2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1999-11-18T20:18:00Z</dcterms:created>
  <dc:creator>Christopher Smith</dc:creator>
  <dc:description/>
  <dc:language>en-CA</dc:language>
  <cp:lastModifiedBy>Christopher Smith</cp:lastModifiedBy>
  <dcterms:modified xsi:type="dcterms:W3CDTF">1999-11-18T20:18:00Z</dcterms:modified>
  <cp:revision>2</cp:revision>
  <dc:subject/>
  <dc:title>“Annual Period”   means the twelve (12) month period ending December 31st of each calendar year</dc:title>
</cp:coreProperties>
</file>