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AGREEMENT RELATED TO</w:t>
        <w:br/>
        <w:t>THE USE AND DEVELOPMENT OF REAL PROPERTY</w:t>
      </w:r>
    </w:p>
    <w:p>
      <w:pPr>
        <w:pStyle w:val="para"/>
        <w:rPr>
          <w:szCs w:val="20"/>
        </w:rPr>
      </w:pPr>
      <w:r>
        <w:rPr>
          <w:b/>
        </w:rPr>
        <w:t>THIS AGREEMENT RELATED TO THE USE AND DEVELOPMENT OF REAL PROPERTY</w:t>
      </w:r>
      <w:r>
        <w:rPr/>
        <w:t xml:space="preserve"> (this “</w:t>
      </w:r>
      <w:r>
        <w:rPr>
          <w:b/>
          <w:bCs/>
          <w:u w:val="single"/>
        </w:rPr>
        <w:t>Agreement</w:t>
      </w:r>
      <w:r>
        <w:rPr/>
        <w:t>”) is made and entered into this ______ day of _________, 2000 (the “</w:t>
      </w:r>
      <w:r>
        <w:rPr>
          <w:b/>
          <w:bCs/>
          <w:u w:val="single"/>
        </w:rPr>
        <w:t>Effective Date</w:t>
      </w:r>
      <w:r>
        <w:rPr/>
        <w:t xml:space="preserve">”), by and between the </w:t>
      </w:r>
      <w:r>
        <w:rPr>
          <w:b/>
          <w:bCs/>
        </w:rPr>
        <w:t>CITY OF DEERFIELD BEACH, FLORIDA</w:t>
      </w:r>
      <w:r>
        <w:rPr/>
        <w:t>, a municipal corporation having a mailing address of 150 N.E. 2</w:t>
      </w:r>
      <w:r>
        <w:rPr>
          <w:vertAlign w:val="superscript"/>
        </w:rPr>
        <w:t>nd</w:t>
      </w:r>
      <w:r>
        <w:rPr/>
        <w:t xml:space="preserve"> Avenue, Deerfield Beach, Florida 33441 (“</w:t>
      </w:r>
      <w:r>
        <w:rPr>
          <w:b/>
          <w:bCs/>
          <w:u w:val="single"/>
        </w:rPr>
        <w:t>City</w:t>
      </w:r>
      <w:r>
        <w:rPr/>
        <w:t xml:space="preserve">”), and </w:t>
      </w:r>
      <w:r>
        <w:rPr>
          <w:b/>
          <w:bCs/>
        </w:rPr>
        <w:t>DEERFIELD BEACH ENERGY CENTER, L.L.C.</w:t>
      </w:r>
      <w:r>
        <w:rPr/>
        <w:t>, a Delaware limited liability company whose principal address is 1400 Smith Street, Houston, Texas  77002, (“</w:t>
      </w:r>
      <w:r>
        <w:rPr>
          <w:highlight w:val="yellow"/>
        </w:rPr>
        <w:t xml:space="preserve">Deerfield Beach Energy Center and its permitted assignees are referred to as </w:t>
      </w:r>
      <w:r>
        <w:rPr>
          <w:b/>
          <w:bCs/>
          <w:highlight w:val="yellow"/>
          <w:u w:val="single"/>
        </w:rPr>
        <w:t>DBEC</w:t>
      </w:r>
      <w:r>
        <w:rPr/>
        <w:t>”).</w:t>
      </w:r>
    </w:p>
    <w:p>
      <w:pPr>
        <w:pStyle w:val="cbu"/>
        <w:rPr>
          <w:szCs w:val="20"/>
        </w:rPr>
      </w:pPr>
      <w:r>
        <w:rPr/>
        <w:t>W I T N E S S E T H:</w:t>
      </w:r>
    </w:p>
    <w:p>
      <w:pPr>
        <w:pStyle w:val="para"/>
        <w:rPr>
          <w:szCs w:val="20"/>
        </w:rPr>
      </w:pPr>
      <w:r>
        <w:rPr>
          <w:b/>
        </w:rPr>
        <w:t>WHEREAS</w:t>
      </w:r>
      <w:r>
        <w:rPr/>
        <w:t>, DBEC plans to construct and operate an electrical generating facility (the “</w:t>
      </w:r>
      <w:r>
        <w:rPr>
          <w:b/>
          <w:bCs/>
          <w:u w:val="single"/>
        </w:rPr>
        <w:t>Deerfield Beach Energy Center</w:t>
      </w:r>
      <w:r>
        <w:rPr/>
        <w:t>” or the “</w:t>
      </w:r>
      <w:r>
        <w:rPr>
          <w:b/>
          <w:bCs/>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bCs/>
          <w:u w:val="single"/>
        </w:rPr>
        <w:t>Property</w:t>
      </w:r>
      <w:r>
        <w:rPr/>
        <w:t>”); and</w:t>
      </w:r>
    </w:p>
    <w:p>
      <w:pPr>
        <w:pStyle w:val="para"/>
        <w:rPr>
          <w:szCs w:val="20"/>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pPr>
      <w:r>
        <w:rPr>
          <w:b/>
        </w:rPr>
        <w:t xml:space="preserve">WHEREAS, </w:t>
      </w:r>
      <w:r>
        <w:rPr>
          <w:bCs/>
        </w:rPr>
        <w:t>DBEC desires to construct the Facility if it receives all requisite local, city, county, state, federal and other approvals for development and construction thereof; and</w:t>
      </w:r>
    </w:p>
    <w:p>
      <w:pPr>
        <w:pStyle w:val="para"/>
        <w:rPr>
          <w:szCs w:val="20"/>
        </w:rPr>
      </w:pPr>
      <w:r>
        <w:rPr>
          <w:b/>
        </w:rPr>
        <w:t>WHEREAS</w:t>
      </w:r>
      <w:r>
        <w:rPr/>
        <w:t>, the City and DBEC acknowledge that the Facility will help promote the economic growth of the City, Broward County and the region; and</w:t>
      </w:r>
    </w:p>
    <w:p>
      <w:pPr>
        <w:pStyle w:val="para"/>
        <w:rPr>
          <w:szCs w:val="20"/>
        </w:rPr>
      </w:pPr>
      <w:r>
        <w:rPr>
          <w:b/>
        </w:rPr>
        <w:t>WHEREAS</w:t>
      </w:r>
      <w:r>
        <w:rPr/>
        <w:t>, pursuant to the Laws of Florida, Chapter 90-486 (the “</w:t>
      </w:r>
      <w:r>
        <w:rPr>
          <w:b/>
          <w:bCs/>
          <w:u w:val="single"/>
        </w:rPr>
        <w:t>Act</w:t>
      </w:r>
      <w:r>
        <w:rPr/>
        <w:t>”), the Property was annexed into the corporate limits of the City of Deerfield Beach; and</w:t>
      </w:r>
    </w:p>
    <w:p>
      <w:pPr>
        <w:pStyle w:val="para"/>
        <w:rPr>
          <w:szCs w:val="20"/>
        </w:rPr>
      </w:pPr>
      <w:r>
        <w:rPr>
          <w:b/>
        </w:rPr>
        <w:t>WHEREAS</w:t>
      </w:r>
      <w:r>
        <w:rPr/>
        <w:t>, the Facility is a use consistent with and permitted by the Industrial land use category contained in the Broward County Comprehensive Land Use Plan; and</w:t>
      </w:r>
    </w:p>
    <w:p>
      <w:pPr>
        <w:pStyle w:val="para"/>
        <w:rPr>
          <w:szCs w:val="20"/>
        </w:rPr>
      </w:pPr>
      <w:r>
        <w:rPr>
          <w:b/>
        </w:rPr>
        <w:t>WHEREAS</w:t>
      </w:r>
      <w:r>
        <w:rPr/>
        <w:t>, the City acknowledges that the Facility is consistent with the effective land use plan; and</w:t>
      </w:r>
    </w:p>
    <w:p>
      <w:pPr>
        <w:pStyle w:val="para"/>
        <w:rPr>
          <w:szCs w:val="20"/>
        </w:rPr>
      </w:pPr>
      <w:r>
        <w:rPr>
          <w:b/>
        </w:rPr>
        <w:t>WHEREAS</w:t>
      </w:r>
      <w:r>
        <w:rPr/>
        <w:t>, the Act provides that the Property is zoned Limited Heavy Industrial M-4 District, pursuant to Article LXV of the  Broward County Zoning Ordinance as same existed on December 1, 1990; and</w:t>
      </w:r>
    </w:p>
    <w:p>
      <w:pPr>
        <w:pStyle w:val="para"/>
        <w:rPr>
          <w:szCs w:val="20"/>
        </w:rPr>
      </w:pPr>
      <w:r>
        <w:rPr>
          <w:b/>
        </w:rPr>
        <w:t>WHEREAS</w:t>
      </w:r>
      <w:r>
        <w:rPr/>
        <w:t>, the City acknowledges that the Facility is a permitted use pursuant to the zoning classification set forth in the Broward County Zoning Ordinance; and</w:t>
      </w:r>
    </w:p>
    <w:p>
      <w:pPr>
        <w:pStyle w:val="para"/>
        <w:rPr>
          <w:szCs w:val="20"/>
        </w:rPr>
      </w:pPr>
      <w:r>
        <w:rPr>
          <w:b/>
        </w:rPr>
        <w:t>WHEREAS</w:t>
      </w:r>
      <w:r>
        <w:rPr/>
        <w:t>, the Act provides that the Property shall be developed in accordance with the provisions of the Broward County Code of Ordinances (the “</w:t>
      </w:r>
      <w:r>
        <w:rPr>
          <w:b/>
          <w:bCs/>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szCs w:val="20"/>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bCs/>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szCs w:val="20"/>
        </w:rPr>
      </w:pPr>
      <w:r>
        <w:rPr>
          <w:b/>
          <w:bCs/>
        </w:rPr>
        <w:t>WHEREAS</w:t>
      </w:r>
      <w:r>
        <w:rPr/>
        <w:t>, the City and DBEC are entering into this Agreement to assure that certain development and site operational issues are addressed; and</w:t>
      </w:r>
    </w:p>
    <w:p>
      <w:pPr>
        <w:pStyle w:val="para"/>
        <w:rPr>
          <w:szCs w:val="20"/>
        </w:rPr>
      </w:pPr>
      <w:r>
        <w:rPr>
          <w:b/>
        </w:rPr>
        <w:t>WHEREAS</w:t>
      </w:r>
      <w:r>
        <w:rPr/>
        <w:t>, the parties hereto desire to enter into this Agreement to set forth their mutual obligations in connection with the development of the Facility.</w:t>
      </w:r>
    </w:p>
    <w:p>
      <w:pPr>
        <w:pStyle w:val="para"/>
        <w:rPr>
          <w:szCs w:val="20"/>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pPr>
      <w:r>
        <w:rPr/>
        <w:t>1.</w:t>
        <w:tab/>
      </w:r>
      <w:r>
        <w:rPr>
          <w:b/>
          <w:bCs w:val="false"/>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rPr/>
        <w:t>2.</w:t>
        <w:tab/>
      </w:r>
      <w:r>
        <w:rPr>
          <w:b/>
          <w:bCs w:val="false"/>
          <w:u w:val="single"/>
        </w:rPr>
        <w:t>Landscaping</w:t>
      </w:r>
      <w:r>
        <w:rPr>
          <w:highlight w:val="yellow"/>
        </w:rPr>
        <w:t>.  Prior to the issuance of a Certificate of Occupancy</w:t>
      </w:r>
      <w:r>
        <w:rPr/>
        <w:t xml:space="preserve">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bCs w:val="false"/>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p>
    <w:p>
      <w:pPr>
        <w:pStyle w:val="ParaLevel2"/>
        <w:rPr/>
      </w:pPr>
      <w:r>
        <w:rPr/>
        <w:t>3.</w:t>
        <w:tab/>
      </w:r>
      <w:r>
        <w:rPr>
          <w:b/>
          <w:bCs w:val="false"/>
          <w:u w:val="single"/>
        </w:rPr>
        <w:t>Service Impacts and Community Enhancements</w:t>
      </w:r>
      <w:r>
        <w:rPr/>
        <w:t xml:space="preserve">.  DBEC and the City acknowledge that the Facility is a unique use and will have impacts upon services and facilities provided by the City which are peculiar to this type of use.  Therefore, </w:t>
      </w:r>
      <w:r>
        <w:rPr>
          <w:highlight w:val="yellow"/>
        </w:rPr>
        <w:t>at the end of the calendar year in which DBEC receives its building permit for the Facility</w:t>
      </w:r>
      <w:r>
        <w:rPr/>
        <w:t>,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reduced by the sum of (i) any City ad valorem taxes paid by DBEC during the calendar year in which DBEC receives its building permit for the Facility, and (ii) any application fees and other costs or other assessments paid by DBEC to City related to the building permit for the Facility..</w:t>
      </w:r>
    </w:p>
    <w:p>
      <w:pPr>
        <w:pStyle w:val="ParaLevel2"/>
        <w:ind w:hanging="0" w:end="0"/>
        <w:rPr/>
      </w:pPr>
      <w:r>
        <w:rPr>
          <w:b/>
          <w:bCs w:val="false"/>
        </w:rPr>
        <w:t xml:space="preserve">4. </w:t>
      </w:r>
      <w:r>
        <w:rPr>
          <w:b/>
          <w:bCs w:val="false"/>
          <w:color w:val="000000"/>
          <w:u w:val="single"/>
        </w:rPr>
        <w:t xml:space="preserve">Construction and Operating </w:t>
      </w:r>
      <w:r>
        <w:rPr>
          <w:rStyle w:val="DeltaViewInsertion"/>
          <w:bCs/>
          <w:color w:val="000000"/>
          <w:u w:val="single"/>
        </w:rPr>
        <w:t>Tax Payments</w:t>
      </w:r>
      <w:r>
        <w:rPr>
          <w:rStyle w:val="DeltaViewInsertion"/>
          <w:bCs/>
          <w:u w:val="single"/>
        </w:rPr>
        <w:t xml:space="preserve">. </w:t>
      </w:r>
      <w:r>
        <w:rPr/>
        <w:t>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r>
        <w:rPr>
          <w:u w:val="single"/>
        </w:rPr>
        <w:t>City Ad Valorem Taxes</w:t>
      </w:r>
      <w:r>
        <w:rPr/>
        <w:t xml:space="preserve">”).  Therefore, </w:t>
      </w:r>
      <w:r>
        <w:rPr>
          <w:highlight w:val="yellow"/>
        </w:rPr>
        <w:t>commencing on November 1</w:t>
      </w:r>
      <w:r>
        <w:rPr>
          <w:highlight w:val="yellow"/>
          <w:vertAlign w:val="superscript"/>
        </w:rPr>
        <w:t>st</w:t>
      </w:r>
      <w:r>
        <w:rPr>
          <w:highlight w:val="yellow"/>
        </w:rPr>
        <w:t xml:space="preserve"> in the calendar year in which PBEC obtains a Certificate of Occupancy for the Facility</w:t>
      </w:r>
      <w:r>
        <w:rPr/>
        <w:t>, and on each November 1</w:t>
      </w:r>
      <w:r>
        <w:rPr>
          <w:vertAlign w:val="superscript"/>
        </w:rPr>
        <w:t>st</w:t>
      </w:r>
      <w:r>
        <w:rPr/>
        <w:t xml:space="preserve"> of each calendar year thereafter in which PBEC owns the Facility,</w:t>
      </w:r>
      <w:r>
        <w:rPr>
          <w:color w:val="000000"/>
        </w:rPr>
        <w:t xml:space="preserve"> in the event the City millage and/or valuation of the Facility results in City Ad Valorem Taxes attributable to such calendar year in an amount of less than [$1,500,000] (the "</w:t>
      </w:r>
      <w:r>
        <w:rPr>
          <w:color w:val="000000"/>
          <w:u w:val="single"/>
        </w:rPr>
        <w:t>Base Amount</w:t>
      </w:r>
      <w:r>
        <w:rPr>
          <w:color w:val="000000"/>
        </w:rPr>
        <w:t>"), PBEC shall pay directly to the City the difference between the Base Amount and the City Ad Valorem Taxes (the “</w:t>
      </w:r>
      <w:r>
        <w:rPr>
          <w:color w:val="000000"/>
          <w:u w:val="single"/>
        </w:rPr>
        <w:t>Additional Tax Payment</w:t>
      </w:r>
      <w:r>
        <w:rPr>
          <w:color w:val="000000"/>
        </w:rPr>
        <w:t xml:space="preserve">”).  In the event that the City Ad Valorem Taxes attributable to such calendar year are greater than or equal to the Base Amount, PBEC shall not make any Additional Tax Payment to the City.  </w:t>
      </w:r>
      <w:r>
        <w:rPr>
          <w:b/>
          <w:bCs w:val="false"/>
        </w:rPr>
        <w:t xml:space="preserve"> </w:t>
      </w:r>
    </w:p>
    <w:p>
      <w:pPr>
        <w:pStyle w:val="ParaLevel2"/>
        <w:ind w:hanging="0" w:end="0"/>
        <w:rPr/>
      </w:pPr>
      <w:r>
        <w:rPr>
          <w:b/>
          <w:bCs w:val="false"/>
        </w:rPr>
        <w:t>5</w:t>
      </w:r>
      <w:r>
        <w:rPr>
          <w:szCs w:val="20"/>
        </w:rPr>
        <w:t>.</w:t>
      </w:r>
      <w:r>
        <w:rPr>
          <w:b/>
          <w:bCs w:val="false"/>
        </w:rPr>
        <w:t xml:space="preserve"> </w:t>
      </w:r>
      <w:r>
        <w:rPr>
          <w:b/>
          <w:bCs w:val="false"/>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ind w:hanging="0" w:end="0"/>
        <w:rPr/>
      </w:pPr>
      <w:r>
        <w:rPr>
          <w:b/>
          <w:bCs w:val="false"/>
        </w:rPr>
        <w:t>6</w:t>
      </w:r>
      <w:r>
        <w:rPr/>
        <w:t>.</w:t>
      </w:r>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rPr>
          <w:b/>
          <w:bCs w:val="false"/>
        </w:rPr>
        <w:t>7.</w:t>
        <w:tab/>
      </w:r>
      <w:r>
        <w:rPr>
          <w:b/>
          <w:bCs w:val="false"/>
          <w:u w:val="single"/>
        </w:rPr>
        <w:t>Easements and Rights of Way</w:t>
      </w:r>
      <w:r>
        <w:rPr>
          <w:b/>
          <w:bCs w:val="false"/>
        </w:rPr>
        <w:t>.</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a</w:t>
      </w:r>
      <w:r>
        <w:rPr>
          <w:b/>
          <w:bCs w:val="false"/>
          <w:lang w:val="en-CA" w:eastAsia="en-CA"/>
        </w:rPr>
      </w:r>
      <w:r>
        <w:rPr>
          <w:b/>
          <w:bCs w:val="false"/>
          <w:lang w:val="en-CA" w:eastAsia="en-CA"/>
        </w:rPr>
        <w:fldChar w:fldCharType="end"/>
      </w:r>
      <w:r>
        <w:rPr>
          <w:b/>
          <w:bCs w:val="false"/>
        </w:rPr>
        <w:t>)</w:t>
        <w:tab/>
      </w:r>
      <w:r>
        <w:rPr>
          <w:b/>
          <w:bCs w:val="false"/>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b</w:t>
      </w:r>
      <w:r>
        <w:rPr>
          <w:b/>
          <w:bCs w:val="false"/>
          <w:lang w:val="en-CA" w:eastAsia="en-CA"/>
        </w:rPr>
      </w:r>
      <w:r>
        <w:rPr>
          <w:b/>
          <w:bCs w:val="false"/>
          <w:lang w:val="en-CA" w:eastAsia="en-CA"/>
        </w:rPr>
        <w:fldChar w:fldCharType="end"/>
      </w:r>
      <w:r>
        <w:rPr>
          <w:b/>
          <w:bCs w:val="false"/>
        </w:rPr>
        <w:t>)</w:t>
        <w:tab/>
      </w:r>
      <w:r>
        <w:rPr>
          <w:b/>
          <w:bCs w:val="false"/>
          <w:u w:val="single"/>
        </w:rPr>
        <w:t>Cellular Tower Easement</w:t>
      </w:r>
      <w:r>
        <w:rPr/>
        <w:t xml:space="preserve">.  </w:t>
      </w:r>
      <w:r>
        <w:rPr>
          <w:highlight w:val="yellow"/>
        </w:rPr>
        <w:t>Prior to the issuance of a Certificate of Occupancy</w:t>
      </w:r>
      <w:r>
        <w:rPr/>
        <w:t>,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bCs w:val="false"/>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1"/>
        <w:rPr>
          <w:szCs w:val="20"/>
        </w:rPr>
      </w:pPr>
      <w:r>
        <w:rPr>
          <w:b/>
          <w:bCs w:val="false"/>
        </w:rPr>
        <w:t>8.</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szCs w:val="20"/>
        </w:rPr>
      </w:pPr>
      <w:r>
        <w:rPr>
          <w:b/>
          <w:bCs w:val="false"/>
        </w:rPr>
        <w:t>9.</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pPr>
      <w:r>
        <w:rPr>
          <w:b/>
          <w:bCs w:val="false"/>
        </w:rPr>
        <w:t>10.</w:t>
        <w:tab/>
      </w:r>
      <w:r>
        <w:rPr>
          <w:b/>
          <w:bCs w:val="false"/>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10</w:t>
      </w:r>
      <w:r>
        <w:rPr>
          <w:b/>
          <w:bCs w:val="false"/>
          <w:lang w:val="en-CA" w:eastAsia="en-CA"/>
        </w:rPr>
      </w:r>
      <w:r>
        <w:rPr>
          <w:b/>
          <w:bCs w:val="false"/>
          <w:lang w:val="en-CA" w:eastAsia="en-CA"/>
        </w:rPr>
        <w:fldChar w:fldCharType="end"/>
      </w:r>
      <w:r>
        <w:rPr>
          <w:b/>
          <w:bCs w:val="false"/>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11</w:t>
      </w:r>
      <w:r>
        <w:rPr>
          <w:b/>
          <w:bCs w:val="false"/>
          <w:lang w:val="en-CA" w:eastAsia="en-CA"/>
        </w:rPr>
      </w:r>
      <w:r>
        <w:rPr>
          <w:b/>
          <w:bCs w:val="false"/>
          <w:lang w:val="en-CA" w:eastAsia="en-CA"/>
        </w:rPr>
        <w:fldChar w:fldCharType="end"/>
      </w:r>
      <w:r>
        <w:rPr>
          <w:b/>
          <w:bCs w:val="false"/>
        </w:rPr>
        <w:t>.</w:t>
        <w:tab/>
      </w:r>
      <w:r>
        <w:rPr>
          <w:b/>
          <w:bCs w:val="false"/>
          <w:u w:val="single"/>
        </w:rPr>
        <w:t>Recording</w:t>
      </w:r>
      <w:r>
        <w:rPr/>
        <w:t>.  The parties hereto agree that prior to the issuance of a building permit for the Facility this Agreement shall be recorded in the public records of Broward County.</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12</w:t>
      </w:r>
      <w:r>
        <w:rPr>
          <w:b/>
          <w:bCs w:val="false"/>
          <w:lang w:val="en-CA" w:eastAsia="en-CA"/>
        </w:rPr>
      </w:r>
      <w:r>
        <w:rPr>
          <w:b/>
          <w:bCs w:val="false"/>
          <w:lang w:val="en-CA" w:eastAsia="en-CA"/>
        </w:rPr>
        <w:fldChar w:fldCharType="end"/>
      </w:r>
      <w:r>
        <w:rPr>
          <w:b/>
          <w:bCs w:val="false"/>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13</w:t>
      </w:r>
      <w:r>
        <w:rPr>
          <w:b/>
          <w:bCs w:val="false"/>
          <w:lang w:val="en-CA" w:eastAsia="en-CA"/>
        </w:rPr>
      </w:r>
      <w:r>
        <w:rPr>
          <w:b/>
          <w:bCs w:val="false"/>
          <w:lang w:val="en-CA" w:eastAsia="en-CA"/>
        </w:rPr>
        <w:fldChar w:fldCharType="end"/>
      </w:r>
      <w:r>
        <w:rPr>
          <w:b/>
          <w:bCs w:val="false"/>
        </w:rPr>
        <w:t>.</w:t>
        <w:tab/>
      </w:r>
      <w:r>
        <w:rPr>
          <w:b/>
          <w:bCs w:val="false"/>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 In such event, PBEC shall so advise the City of such assignment.</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14</w:t>
      </w:r>
      <w:r>
        <w:rPr>
          <w:b/>
          <w:bCs w:val="false"/>
          <w:lang w:val="en-CA" w:eastAsia="en-CA"/>
        </w:rPr>
      </w:r>
      <w:r>
        <w:rPr>
          <w:b/>
          <w:bCs w:val="false"/>
          <w:lang w:val="en-CA" w:eastAsia="en-CA"/>
        </w:rPr>
        <w:fldChar w:fldCharType="end"/>
      </w:r>
      <w:r>
        <w:rPr>
          <w:b/>
          <w:bCs w:val="false"/>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szCs w:val="20"/>
        </w:rPr>
      </w:pPr>
      <w:r>
        <w:rPr>
          <w:b/>
          <w:bCs/>
        </w:rPr>
        <w:t>IN WITNESS WHEREOF</w:t>
      </w:r>
      <w:r>
        <w:rPr/>
        <w:t>, the parties have duly executed this Agreement as of the day and year first above written.</w:t>
      </w:r>
    </w:p>
    <w:p>
      <w:pPr>
        <w:pStyle w:val="center12"/>
        <w:rPr>
          <w:i/>
          <w:i/>
          <w:iCs/>
        </w:rPr>
      </w:pPr>
      <w:r>
        <w:rPr>
          <w:i/>
          <w:iCs/>
        </w:rPr>
        <w:t>[remainder of page intentionally left blank]</w:t>
      </w:r>
      <w:r>
        <w:br w:type="page"/>
      </w:r>
    </w:p>
    <w:p>
      <w:pPr>
        <w:pStyle w:val="Normal"/>
        <w:tabs>
          <w:tab w:val="clear" w:pos="720"/>
          <w:tab w:val="left" w:pos="-1440" w:leader="none"/>
        </w:tabs>
        <w:jc w:val="both"/>
        <w:rPr>
          <w:i/>
          <w:i/>
          <w:iCs/>
          <w:szCs w:val="20"/>
        </w:rPr>
      </w:pPr>
      <w:r>
        <w:rPr>
          <w:i/>
          <w:iCs/>
          <w:szCs w:val="20"/>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bCs/>
              </w:rPr>
              <w:t>CITY OF DEERFIELD BEACH</w:t>
            </w:r>
            <w:r>
              <w:rPr/>
              <w:t>, a Florida municipal corporation</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szCs w:val="20"/>
        </w:rPr>
      </w:pPr>
      <w:r>
        <w:rPr>
          <w:szCs w:val="20"/>
        </w:rPr>
      </w:r>
      <w:r>
        <w:br w:type="page"/>
      </w:r>
    </w:p>
    <w:p>
      <w:pPr>
        <w:pStyle w:val="Normal"/>
        <w:tabs>
          <w:tab w:val="clear" w:pos="720"/>
          <w:tab w:val="left" w:pos="-1440" w:leader="none"/>
        </w:tabs>
        <w:jc w:val="both"/>
        <w:rPr>
          <w:szCs w:val="20"/>
        </w:rPr>
      </w:pPr>
      <w:r>
        <w:rPr>
          <w:szCs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bCs/>
              </w:rPr>
              <w:t>DEERFIELD BEACH ENERGY CENTER, L.L.C</w:t>
            </w:r>
            <w:r>
              <w:rPr/>
              <w:t>, a(n) __________ limited liability company</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szCs w:val="20"/>
        </w:rPr>
      </w:pPr>
      <w:r>
        <w:rPr>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4">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2001-05-31T21:04:00Z</dcterms:created>
  <dc:creator>darellip</dc:creator>
  <dc:description/>
  <dc:language>en-CA</dc:language>
  <cp:lastModifiedBy>kmann</cp:lastModifiedBy>
  <cp:lastPrinted>2001-05-30T16:13:00Z</cp:lastPrinted>
  <dcterms:modified xsi:type="dcterms:W3CDTF">2001-05-31T21:11:00Z</dcterms:modified>
  <cp:revision>3</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