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AMERICAS</w:t>
      </w:r>
    </w:p>
    <w:p>
      <w:pPr>
        <w:pStyle w:val="Normal"/>
        <w:jc w:val="center"/>
        <w:rPr>
          <w:b/>
          <w:sz w:val="32"/>
        </w:rPr>
      </w:pPr>
      <w:r>
        <w:rPr>
          <w:b/>
          <w:sz w:val="32"/>
        </w:rPr>
        <w:t>INTERNAL DEAL APPROVAL SHEET (“I-DASH”)</w:t>
      </w:r>
    </w:p>
    <w:p>
      <w:pPr>
        <w:pStyle w:val="Normal"/>
        <w:jc w:val="center"/>
        <w:rPr/>
      </w:pPr>
      <w:r>
        <w:rPr/>
        <w:t>(for Conforming expenditures &lt;$2,500,000)</w:t>
      </w:r>
    </w:p>
    <w:p>
      <w:pPr>
        <w:pStyle w:val="Normal"/>
        <w:rPr/>
      </w:pPr>
      <w:r>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tcBorders>
          </w:tcPr>
          <w:p>
            <w:pPr>
              <w:pStyle w:val="Heading1"/>
              <w:ind w:hanging="0" w:start="0"/>
              <w:rPr/>
            </w:pPr>
            <w:r>
              <w:rPr/>
              <w:t xml:space="preserve">DEAL NAME:  </w:t>
            </w:r>
          </w:p>
          <w:p>
            <w:pPr>
              <w:pStyle w:val="Heading1"/>
              <w:ind w:hanging="0" w:start="0"/>
              <w:rPr/>
            </w:pPr>
            <w:r>
              <w:rPr>
                <w:b w:val="false"/>
              </w:rPr>
              <w:t>Counterparty</w:t>
            </w:r>
            <w:r>
              <w:rPr/>
              <w:t>:  City of Deerfield Beach</w:t>
            </w:r>
          </w:p>
          <w:p>
            <w:pPr>
              <w:pStyle w:val="Normal"/>
              <w:rPr/>
            </w:pPr>
            <w:r>
              <w:rPr/>
              <w:t>Business Unit:  ENA East Power Development</w:t>
            </w:r>
          </w:p>
          <w:p>
            <w:pPr>
              <w:pStyle w:val="Normal"/>
              <w:rPr/>
            </w:pPr>
            <w:r>
              <w:rPr/>
              <w:t>Business Unit Originator: Steve Krimsky / Ben Jacoby</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36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tcBorders>
          </w:tcPr>
          <w:p>
            <w:pPr>
              <w:pStyle w:val="Normal"/>
              <w:ind w:firstLine="90" w:start="-198" w:end="-738"/>
              <w:rPr/>
            </w:pPr>
            <w:r>
              <w:rPr/>
              <w:t xml:space="preserve">Date DASH Completed:  </w:t>
            </w:r>
          </w:p>
          <w:p>
            <w:pPr>
              <w:pStyle w:val="Normal"/>
              <w:ind w:firstLine="90" w:start="-198" w:end="-738"/>
              <w:rPr/>
            </w:pPr>
            <w:r>
              <w:rPr/>
              <w:t>Investment Type:  Equity-Private</w:t>
            </w:r>
          </w:p>
          <w:p>
            <w:pPr>
              <w:pStyle w:val="Normal"/>
              <w:ind w:firstLine="90" w:start="-198" w:end="-738"/>
              <w:rPr/>
            </w:pPr>
            <w:r>
              <w:rPr/>
              <w:t>Capital Funding Source(s):  Balance Sheet</w:t>
            </w:r>
          </w:p>
          <w:p>
            <w:pPr>
              <w:pStyle w:val="Normal"/>
              <w:ind w:firstLine="90" w:start="-198" w:end="-738"/>
              <w:rPr/>
            </w:pPr>
            <w:r>
              <w:rPr/>
              <w:t xml:space="preserve">Expected Closing Date:  </w:t>
            </w:r>
          </w:p>
          <w:p>
            <w:pPr>
              <w:pStyle w:val="Normal"/>
              <w:ind w:firstLine="90" w:start="-198" w:end="-738"/>
              <w:rPr/>
            </w:pPr>
            <w:r>
              <w:rPr/>
              <w:t xml:space="preserve">Expected Funding Date:  </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r>
        <w:trPr>
          <w:trHeight w:val="198" w:hRule="atLeast"/>
        </w:trPr>
        <w:tc>
          <w:tcPr>
            <w:tcW w:w="5490" w:type="dxa"/>
            <w:tcBorders>
              <w:bottom w:val="single" w:sz="8" w:space="0" w:color="000000"/>
            </w:tcBorders>
          </w:tcPr>
          <w:p>
            <w:pPr>
              <w:pStyle w:val="Heading1"/>
              <w:snapToGrid w:val="false"/>
              <w:ind w:hanging="0" w:start="0"/>
              <w:rPr/>
            </w:pPr>
            <w:r>
              <w:rPr/>
            </w:r>
          </w:p>
        </w:tc>
        <w:tc>
          <w:tcPr>
            <w:tcW w:w="4950" w:type="dxa"/>
            <w:tcBorders>
              <w:bottom w:val="single" w:sz="8" w:space="0" w:color="000000"/>
            </w:tcBorders>
          </w:tcPr>
          <w:p>
            <w:pPr>
              <w:pStyle w:val="Normal"/>
              <w:snapToGrid w:val="false"/>
              <w:ind w:firstLine="90" w:start="-198" w:end="-738"/>
              <w:rPr/>
            </w:pPr>
            <w:r>
              <w:rPr/>
            </w:r>
          </w:p>
        </w:tc>
      </w:tr>
    </w:tbl>
    <w:p>
      <w:pPr>
        <w:pStyle w:val="Normal"/>
        <w:rPr/>
      </w:pPr>
      <w:r>
        <w:rPr/>
        <w:t xml:space="preserve">Americas Management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end="-36"/>
        <w:rPr/>
      </w:pPr>
      <w:r>
        <w:rPr/>
        <w:t xml:space="preserve">Enron North America payment expenditure of $500,000.00. </w:t>
      </w:r>
    </w:p>
    <w:p>
      <w:pPr>
        <w:pStyle w:val="Normal"/>
        <w:rPr/>
      </w:pPr>
      <w:r>
        <w:rPr/>
        <w:tab/>
      </w:r>
    </w:p>
    <w:p>
      <w:pPr>
        <w:pStyle w:val="Heading1"/>
        <w:pBdr>
          <w:top w:val="single" w:sz="8" w:space="1" w:color="000000"/>
        </w:pBdr>
        <w:ind w:hanging="0" w:start="0" w:end="-36"/>
        <w:rPr/>
      </w:pPr>
      <w:r>
        <w:rPr/>
        <w:t>EXPOSURE SUMMARY ($s in 000)</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rPr>
            </w:pPr>
            <w:r>
              <w:rPr>
                <w:rFonts w:cs="Arial" w:ascii="Arial" w:hAnsi="Arial"/>
              </w:rPr>
              <w:t>This Transaction</w:t>
            </w:r>
          </w:p>
        </w:tc>
        <w:tc>
          <w:tcPr>
            <w:tcW w:w="1332" w:type="dxa"/>
            <w:tcBorders/>
          </w:tcPr>
          <w:p>
            <w:pPr>
              <w:pStyle w:val="Normal"/>
              <w:ind w:end="-36"/>
              <w:jc w:val="end"/>
              <w:rPr>
                <w:rFonts w:ascii="Arial" w:hAnsi="Arial" w:cs="Arial"/>
              </w:rPr>
            </w:pPr>
            <w:r>
              <w:rPr>
                <w:rFonts w:cs="Arial" w:ascii="Arial" w:hAnsi="Arial"/>
              </w:rPr>
              <w:t>500</w:t>
            </w:r>
          </w:p>
        </w:tc>
        <w:tc>
          <w:tcPr>
            <w:tcW w:w="4338" w:type="dxa"/>
            <w:tcBorders/>
          </w:tcPr>
          <w:p>
            <w:pPr>
              <w:pStyle w:val="Normal"/>
              <w:snapToGrid w:val="false"/>
              <w:ind w:end="-36"/>
              <w:rPr>
                <w:rFonts w:ascii="Arial" w:hAnsi="Arial" w:cs="Arial"/>
              </w:rPr>
            </w:pPr>
            <w:r>
              <w:rPr>
                <w:rFonts w:cs="Arial" w:ascii="Arial" w:hAnsi="Arial"/>
              </w:rPr>
            </w:r>
          </w:p>
        </w:tc>
      </w:tr>
      <w:tr>
        <w:trPr/>
        <w:tc>
          <w:tcPr>
            <w:tcW w:w="4428" w:type="dxa"/>
            <w:tcBorders/>
          </w:tcPr>
          <w:p>
            <w:pPr>
              <w:pStyle w:val="Normal"/>
              <w:ind w:end="-36"/>
              <w:rPr/>
            </w:pPr>
            <w:r>
              <w:rPr>
                <w:rFonts w:cs="Arial" w:ascii="Arial" w:hAnsi="Arial"/>
              </w:rPr>
              <w:t>Pre-approved development expenses*</w:t>
            </w:r>
          </w:p>
          <w:p>
            <w:pPr>
              <w:pStyle w:val="Normal"/>
              <w:ind w:end="-36"/>
              <w:rPr>
                <w:rFonts w:ascii="Arial" w:hAnsi="Arial" w:cs="Arial"/>
              </w:rPr>
            </w:pPr>
            <w:r>
              <w:rPr>
                <w:rFonts w:cs="Arial" w:ascii="Arial" w:hAnsi="Arial"/>
              </w:rPr>
              <w:t>Anticipated pre-approved expenses through 12/31/01</w:t>
            </w:r>
          </w:p>
        </w:tc>
        <w:tc>
          <w:tcPr>
            <w:tcW w:w="1332" w:type="dxa"/>
            <w:tcBorders/>
          </w:tcPr>
          <w:p>
            <w:pPr>
              <w:pStyle w:val="Normal"/>
              <w:ind w:end="-36"/>
              <w:jc w:val="end"/>
              <w:rPr>
                <w:rFonts w:ascii="Arial" w:hAnsi="Arial" w:cs="Arial"/>
              </w:rPr>
            </w:pPr>
            <w:r>
              <w:rPr>
                <w:rFonts w:cs="Arial" w:ascii="Arial" w:hAnsi="Arial"/>
              </w:rPr>
              <w:t>1,223</w:t>
            </w:r>
          </w:p>
          <w:p>
            <w:pPr>
              <w:pStyle w:val="Normal"/>
              <w:ind w:end="-36"/>
              <w:jc w:val="end"/>
              <w:rPr>
                <w:rFonts w:ascii="Arial" w:hAnsi="Arial" w:cs="Arial"/>
              </w:rPr>
            </w:pPr>
            <w:r>
              <w:rPr>
                <w:rFonts w:cs="Arial" w:ascii="Arial" w:hAnsi="Arial"/>
              </w:rPr>
            </w:r>
          </w:p>
          <w:p>
            <w:pPr>
              <w:pStyle w:val="Normal"/>
              <w:ind w:end="-36"/>
              <w:jc w:val="end"/>
              <w:rPr>
                <w:rFonts w:ascii="Arial" w:hAnsi="Arial" w:cs="Arial"/>
              </w:rPr>
            </w:pPr>
            <w:r>
              <w:rPr>
                <w:rFonts w:cs="Arial" w:ascii="Arial" w:hAnsi="Arial"/>
              </w:rPr>
              <w:t>1,000</w:t>
            </w:r>
          </w:p>
        </w:tc>
        <w:tc>
          <w:tcPr>
            <w:tcW w:w="4338" w:type="dxa"/>
            <w:tcBorders/>
          </w:tcPr>
          <w:p>
            <w:pPr>
              <w:pStyle w:val="Normal"/>
              <w:snapToGrid w:val="false"/>
              <w:ind w:end="-36"/>
              <w:rPr>
                <w:rFonts w:ascii="Arial" w:hAnsi="Arial" w:cs="Arial"/>
              </w:rPr>
            </w:pPr>
            <w:r>
              <w:rPr>
                <w:rFonts w:cs="Arial" w:ascii="Arial" w:hAnsi="Arial"/>
              </w:rPr>
            </w:r>
          </w:p>
          <w:p>
            <w:pPr>
              <w:pStyle w:val="Normal"/>
              <w:ind w:end="-36"/>
              <w:rPr>
                <w:rFonts w:ascii="Arial" w:hAnsi="Arial" w:cs="Arial"/>
              </w:rPr>
            </w:pPr>
            <w:r>
              <w:rPr>
                <w:rFonts w:cs="Arial" w:ascii="Arial" w:hAnsi="Arial"/>
              </w:rPr>
            </w:r>
          </w:p>
        </w:tc>
      </w:tr>
      <w:tr>
        <w:trPr/>
        <w:tc>
          <w:tcPr>
            <w:tcW w:w="4428" w:type="dxa"/>
            <w:tcBorders/>
          </w:tcPr>
          <w:p>
            <w:pPr>
              <w:pStyle w:val="Normal"/>
              <w:ind w:end="-36"/>
              <w:rPr>
                <w:rFonts w:ascii="Arial" w:hAnsi="Arial" w:cs="Arial"/>
              </w:rPr>
            </w:pPr>
            <w:r>
              <w:rPr>
                <w:rFonts w:eastAsia="Arial" w:cs="Arial" w:ascii="Arial" w:hAnsi="Arial"/>
              </w:rPr>
              <w:t xml:space="preserve">  </w:t>
            </w:r>
            <w:r>
              <w:rPr>
                <w:rFonts w:cs="Arial" w:ascii="Arial" w:hAnsi="Arial"/>
              </w:rPr>
              <w:t>TOTAL</w:t>
            </w:r>
          </w:p>
        </w:tc>
        <w:tc>
          <w:tcPr>
            <w:tcW w:w="1332" w:type="dxa"/>
            <w:tcBorders>
              <w:top w:val="single" w:sz="4" w:space="0" w:color="000000"/>
            </w:tcBorders>
          </w:tcPr>
          <w:p>
            <w:pPr>
              <w:pStyle w:val="Normal"/>
              <w:ind w:end="-36"/>
              <w:jc w:val="end"/>
              <w:rPr>
                <w:rFonts w:ascii="Arial" w:hAnsi="Arial" w:cs="Arial"/>
              </w:rPr>
            </w:pPr>
            <w:r>
              <w:rPr>
                <w:rFonts w:cs="Arial" w:ascii="Arial" w:hAnsi="Arial"/>
              </w:rPr>
              <w:t>2,723</w:t>
            </w:r>
          </w:p>
        </w:tc>
        <w:tc>
          <w:tcPr>
            <w:tcW w:w="4338" w:type="dxa"/>
            <w:tcBorders/>
          </w:tcPr>
          <w:p>
            <w:pPr>
              <w:pStyle w:val="Normal"/>
              <w:snapToGrid w:val="false"/>
              <w:ind w:end="-36"/>
              <w:rPr>
                <w:rFonts w:ascii="Arial" w:hAnsi="Arial" w:cs="Arial"/>
              </w:rPr>
            </w:pPr>
            <w:r>
              <w:rPr>
                <w:rFonts w:cs="Arial" w:ascii="Arial" w:hAnsi="Arial"/>
              </w:rPr>
            </w:r>
          </w:p>
        </w:tc>
      </w:tr>
    </w:tbl>
    <w:p>
      <w:pPr>
        <w:pStyle w:val="Normal"/>
        <w:ind w:end="-36"/>
        <w:rPr>
          <w:rFonts w:ascii="Arial" w:hAnsi="Arial" w:cs="Arial"/>
        </w:rPr>
      </w:pPr>
      <w:r>
        <w:rPr>
          <w:rFonts w:cs="Arial" w:ascii="Arial" w:hAnsi="Arial"/>
        </w:rPr>
        <w:t>*costs through Sept. 18, 2001</w:t>
      </w:r>
    </w:p>
    <w:p>
      <w:pPr>
        <w:pStyle w:val="Heading2"/>
        <w:widowControl/>
        <w:pBdr>
          <w:top w:val="single" w:sz="8" w:space="1" w:color="000000"/>
        </w:pBdr>
        <w:ind w:hanging="0" w:start="0" w:end="-36"/>
        <w:rPr>
          <w:i w:val="false"/>
          <w:i w:val="false"/>
        </w:rPr>
      </w:pPr>
      <w:r>
        <w:rPr>
          <w:i w:val="false"/>
        </w:rPr>
        <w:t>DEAL DESCRIPTION</w:t>
      </w:r>
    </w:p>
    <w:p>
      <w:pPr>
        <w:pStyle w:val="Normal"/>
        <w:rPr>
          <w:rFonts w:ascii="Arial" w:hAnsi="Arial" w:cs="Arial"/>
        </w:rPr>
      </w:pPr>
      <w:r>
        <w:rPr>
          <w:rFonts w:cs="Arial" w:ascii="Arial" w:hAnsi="Arial"/>
        </w:rPr>
        <w:t>By this DASH, East Power Generation Development is seeking approval to make a $500,000 milestone payment no later than September 30, 2001 under the “Developer’s Agreement” between the Deerfield Beach Energy Center  (DBEC) and the city of Deerfield Beach, Florida. Enron wholly owns DBEC through a limited liability company. Should the requested payment not be made, the Developer’s Agreement will be terminated and development of DBEC shall cease.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DBEC is one development project out of several within East Power Generation Development’s greenfield merchant generation development portfolio. DBEC is a planned 500 - 800MW power generation facility that is being developed in order to create and maintain generation optionality for the Company in the south Florida market. The location of DBEC from an electric and gas interconnection perspective is highly attractive as DBEC is in south Florida (Broward County), in the immediate vicinity of FGT’s gas pipeline as well as the proposed location where the Calypso LNG pipeline will land. The area is widely recognized as needing additional electric capacity, but the area is highly developed and sufficient land for a large-scale power plant is scarce. Although generating local support for such a development effort is difficult in this area of Florida, the Company has managed to secure the necessary local approvals from the city of Deerfield Beach (although appeals to such approvals have been filed by neighboring communities). DBEC has been under development since the second quarter of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To date, costs incurred towards completing the development of DBEC have not individually exceeded $250,000, and have been previously budgeted (and therefore pre-approved) within East Power Generation Development’s annual development budget. Actual aggregate costs incurred through September 18, 2001 on the development of DBEC are $1.223 million. It is anticipated that actual costs through December 2001 may be as high as an additional $1 million, which would bring the total cost exposure to $2.723 million (although these additional costs are discretionary in nature, and the Company may choose to not incur these costs at any time).</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 xml:space="preserve">As a condition to granting site plan approval, the city of Deerfield Beach required DBEC to enter into the Developer’s Agreement. Developer’s Agreements are customary agreements that local governments in Florida require developers to enter into as a condition to granting approvals for many types of large-scale residential, commercial or industrial development. Developer’s Agreements typically provide local governments the payment of “impact fees” intended to compensate for increased demand on services resulting from the proposed development. In the case of DBEC, the payment terms of the Developer’s Agreement were highly negotiated, and certain groups in neighboring communities contested the proposed power plant development. As such, several administrative proceedings are in progress concerning DBEC’s local and state permits, and Broward County is attempting to impose a temporary moratorium on the construction of power plants (although it is not clear whether they have the jurisdiction to do so).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These challenges could last longer than a year, but could also last just 6 months.  Through the completion of development, it is not anticipated that DBEC will need to incur any future costs that individually exceed $250,000, and the Company may cease development of DBEC at any time and without any direct termination costs, should market dynamics change in such a way as to make the development asset unattractive. In any event, should DBEC not terminate the Developer’s Agreement by September 30, 2001, it is required to pay the city of Deerfield Beach an impact fee of $500,000. All other payments due under the Developer’s Agreement occur after DBEC files for building permits (and DBEC is under no obligation to file such building permits). It is contemplated that DBEC will therefore not incur additional fees under the Developer’s Agreement prior to implementing the Exit Strategy described below. The Company has not incurred, nor does it intend t incur, any hard equipment costs associated with DBEC.</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While the Company does not presently intend to construct and operate DBEC for its own account, it is presently pursuing several other value propositions associated with DBEC including:</w:t>
      </w:r>
    </w:p>
    <w:p>
      <w:pPr>
        <w:pStyle w:val="BodyText"/>
        <w:numPr>
          <w:ilvl w:val="0"/>
          <w:numId w:val="4"/>
        </w:numPr>
        <w:rPr>
          <w:rFonts w:ascii="Arial" w:hAnsi="Arial" w:cs="Arial"/>
        </w:rPr>
      </w:pPr>
      <w:r>
        <w:rPr>
          <w:rFonts w:cs="Arial" w:ascii="Arial" w:hAnsi="Arial"/>
          <w:b/>
        </w:rPr>
        <w:t>FPL RFP.</w:t>
      </w:r>
      <w:r>
        <w:rPr>
          <w:rFonts w:cs="Arial" w:ascii="Arial" w:hAnsi="Arial"/>
        </w:rPr>
        <w:t xml:space="preserve"> FPL has recently issued an RFP for up to 1,700 MW. The Company intends to bid DBEC into this RFP, and if it is successful, it may proceed with the sale of the DBEC development assets bundled together with a FPL off-take agreement.</w:t>
      </w:r>
    </w:p>
    <w:p>
      <w:pPr>
        <w:pStyle w:val="BodyText"/>
        <w:numPr>
          <w:ilvl w:val="0"/>
          <w:numId w:val="4"/>
        </w:numPr>
        <w:rPr>
          <w:rFonts w:ascii="Arial" w:hAnsi="Arial" w:cs="Arial"/>
        </w:rPr>
      </w:pPr>
      <w:r>
        <w:rPr>
          <w:rFonts w:cs="Arial" w:ascii="Arial" w:hAnsi="Arial"/>
          <w:b/>
        </w:rPr>
        <w:t>Third Party Sale.</w:t>
      </w:r>
      <w:r>
        <w:rPr>
          <w:rFonts w:cs="Arial" w:ascii="Arial" w:hAnsi="Arial"/>
        </w:rPr>
        <w:t xml:space="preserve"> The Company is in discussions with several third parties that are interested in acquiring the DBEC development assets, and if a sufficient margin can be realized, the Company may sell DBEC.</w:t>
      </w:r>
    </w:p>
    <w:p>
      <w:pPr>
        <w:pStyle w:val="BodyText"/>
        <w:numPr>
          <w:ilvl w:val="0"/>
          <w:numId w:val="4"/>
        </w:numPr>
        <w:rPr>
          <w:rFonts w:ascii="Arial" w:hAnsi="Arial" w:cs="Arial"/>
        </w:rPr>
      </w:pPr>
      <w:r>
        <w:rPr>
          <w:rFonts w:cs="Arial" w:ascii="Arial" w:hAnsi="Arial"/>
          <w:b/>
        </w:rPr>
        <w:t>Third Party Off-Take.</w:t>
      </w:r>
      <w:r>
        <w:rPr>
          <w:rFonts w:cs="Arial" w:ascii="Arial" w:hAnsi="Arial"/>
        </w:rPr>
        <w:t xml:space="preserve"> The Company is also in discussions with parties who are interested in entering into a long-term off-take agreement for peaking capacity to be delivered by DBEC. If a sufficient agreement can be negotiated, the Company may bundle the DBEC assets together with this off-take agreement and sell the asset package to a third party.</w:t>
      </w:r>
    </w:p>
    <w:p>
      <w:pPr>
        <w:pStyle w:val="BodyText"/>
        <w:numPr>
          <w:ilvl w:val="0"/>
          <w:numId w:val="4"/>
        </w:numPr>
        <w:rPr>
          <w:rFonts w:ascii="Arial" w:hAnsi="Arial" w:cs="Arial"/>
        </w:rPr>
      </w:pPr>
      <w:r>
        <w:rPr>
          <w:rFonts w:cs="Arial" w:ascii="Arial" w:hAnsi="Arial"/>
          <w:b/>
        </w:rPr>
        <w:t>ETS / ENA / Calypso JV.</w:t>
      </w:r>
      <w:r>
        <w:rPr>
          <w:rFonts w:cs="Arial" w:ascii="Arial" w:hAnsi="Arial"/>
        </w:rPr>
        <w:t xml:space="preserve"> ENA has been approached by ETS to use the DBEC asset in order to leverage the Company into a larger project potentially involving the Calypso LNG pipeline. This concept is predicated on DBEC winning an allocation of the FPL RFP, connecting the DBEC facility to both FGT and the Calypso pipeline, ETS owning the developed project, and ENA retaining 50% of the project as consideration for its development efforts to date. This project is highly speculative at this juncture, and discussions between ETS and ENA have only recently begun.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In summary, it is anticipated that, once completed, the DBEC development asset will provide the Company with several value propositions. On this basis as described above, the development team requests to proceed with DBEC (while at the same time pursuing the value propositions referenced above) by making the $500,000 Developer’s Agreement payment to the city of Deerfield Beach.</w:t>
      </w:r>
    </w:p>
    <w:p>
      <w:pPr>
        <w:pStyle w:val="Normal"/>
        <w:ind w:firstLine="360" w:end="0"/>
        <w:rPr>
          <w:rFonts w:ascii="Arial" w:hAnsi="Arial" w:cs="Arial"/>
        </w:rPr>
      </w:pPr>
      <w:r>
        <w:rPr>
          <w:rFonts w:cs="Arial" w:ascii="Arial" w:hAnsi="Arial"/>
        </w:rPr>
      </w:r>
    </w:p>
    <w:p>
      <w:pPr>
        <w:pStyle w:val="Heading2"/>
        <w:widowControl/>
        <w:pBdr>
          <w:top w:val="single" w:sz="8" w:space="3" w:color="000000"/>
        </w:pBdr>
        <w:ind w:hanging="0" w:start="0" w:end="-36"/>
        <w:rPr>
          <w:rFonts w:ascii="Arial" w:hAnsi="Arial" w:cs="Arial"/>
          <w:b w:val="false"/>
          <w:i w:val="false"/>
          <w:i w:val="false"/>
        </w:rPr>
      </w:pPr>
      <w:r>
        <w:rPr>
          <w:rFonts w:cs="Arial" w:ascii="Arial" w:hAnsi="Arial"/>
          <w:i w:val="false"/>
        </w:rPr>
        <w:t>TRANSACTION UPSIDES</w:t>
      </w:r>
    </w:p>
    <w:p>
      <w:pPr>
        <w:pStyle w:val="Normal"/>
        <w:ind w:end="-36"/>
        <w:rPr>
          <w:rFonts w:ascii="Arial" w:hAnsi="Arial" w:cs="Arial"/>
        </w:rPr>
      </w:pPr>
      <w:r>
        <w:rPr>
          <w:rFonts w:cs="Arial" w:ascii="Arial" w:hAnsi="Arial"/>
        </w:rPr>
        <w:t xml:space="preserve">Based on locational value and current market conditions in Florida, the development team expects to realize a significant return on invested capital through executing one of the value propositions described above. </w:t>
        <w:tab/>
      </w:r>
    </w:p>
    <w:p>
      <w:pPr>
        <w:pStyle w:val="Header"/>
        <w:widowControl/>
        <w:tabs>
          <w:tab w:val="clear" w:pos="4320"/>
          <w:tab w:val="clear" w:pos="8640"/>
        </w:tabs>
        <w:rPr>
          <w:rFonts w:ascii="Arial" w:hAnsi="Arial" w:cs="Arial"/>
        </w:rPr>
      </w:pPr>
      <w:r>
        <w:rPr>
          <w:rFonts w:cs="Arial" w:ascii="Arial" w:hAnsi="Arial"/>
        </w:rPr>
        <w:t xml:space="preserve">Paying the $500,000 under the Developer’s Agreement allows Enron to maintain its generation optionality and pursue these value propositions.  </w:t>
      </w:r>
    </w:p>
    <w:p>
      <w:pPr>
        <w:pStyle w:val="Heading2"/>
        <w:widowControl/>
        <w:pBdr>
          <w:top w:val="single" w:sz="8" w:space="3" w:color="000000"/>
        </w:pBdr>
        <w:ind w:hanging="0" w:start="0" w:end="-36"/>
        <w:rPr>
          <w:rFonts w:ascii="Arial" w:hAnsi="Arial" w:cs="Arial"/>
          <w:i w:val="false"/>
          <w:i w:val="false"/>
        </w:rPr>
      </w:pPr>
      <w:r>
        <w:rPr>
          <w:rFonts w:cs="Arial" w:ascii="Arial" w:hAnsi="Arial"/>
          <w:i w:val="false"/>
        </w:rPr>
        <w:t>EXIT STRATEGY</w:t>
      </w:r>
    </w:p>
    <w:p>
      <w:pPr>
        <w:pStyle w:val="Normal"/>
        <w:rPr>
          <w:rFonts w:ascii="Arial" w:hAnsi="Arial" w:cs="Arial"/>
          <w:i/>
          <w:i/>
        </w:rPr>
      </w:pPr>
      <w:r>
        <w:rPr>
          <w:rFonts w:cs="Arial" w:ascii="Arial" w:hAnsi="Arial"/>
        </w:rPr>
        <w:t>Please refer to the four value propositions described above.</w:t>
      </w:r>
    </w:p>
    <w:p>
      <w:pPr>
        <w:pStyle w:val="Normal"/>
        <w:rPr>
          <w:rFonts w:ascii="Arial" w:hAnsi="Arial" w:cs="Arial"/>
          <w:i/>
          <w:i/>
        </w:rPr>
      </w:pPr>
      <w:r>
        <w:rPr>
          <w:rFonts w:cs="Arial" w:ascii="Arial" w:hAnsi="Arial"/>
          <w:i/>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TRANSACTION SOURCES AND USES OF FUNDS</w:t>
      </w:r>
      <w:r>
        <w:rPr>
          <w:rFonts w:cs="Arial" w:ascii="Arial" w:hAnsi="Arial"/>
          <w:i w:val="false"/>
          <w:color w:val="FF0000"/>
        </w:rPr>
        <w:t xml:space="preserve"> </w:t>
      </w:r>
    </w:p>
    <w:tbl>
      <w:tblPr>
        <w:tblW w:w="10260" w:type="dxa"/>
        <w:jc w:val="start"/>
        <w:tblInd w:w="108" w:type="dxa"/>
        <w:tblLayout w:type="fixed"/>
        <w:tblCellMar>
          <w:top w:w="0" w:type="dxa"/>
          <w:start w:w="108" w:type="dxa"/>
          <w:bottom w:w="0" w:type="dxa"/>
          <w:end w:w="108" w:type="dxa"/>
        </w:tblCellMar>
      </w:tblPr>
      <w:tblGrid>
        <w:gridCol w:w="2430"/>
        <w:gridCol w:w="1260"/>
        <w:gridCol w:w="1710"/>
        <w:gridCol w:w="2790"/>
        <w:gridCol w:w="2070"/>
      </w:tblGrid>
      <w:tr>
        <w:trPr/>
        <w:tc>
          <w:tcPr>
            <w:tcW w:w="2430" w:type="dxa"/>
            <w:tcBorders/>
          </w:tcPr>
          <w:p>
            <w:pPr>
              <w:pStyle w:val="Normal"/>
              <w:snapToGrid w:val="false"/>
              <w:rPr>
                <w:rFonts w:ascii="Arial" w:hAnsi="Arial" w:cs="Arial"/>
              </w:rPr>
            </w:pPr>
            <w:r>
              <w:rPr>
                <w:rFonts w:cs="Arial" w:ascii="Arial" w:hAnsi="Arial"/>
              </w:rPr>
            </w:r>
          </w:p>
        </w:tc>
        <w:tc>
          <w:tcPr>
            <w:tcW w:w="1260" w:type="dxa"/>
            <w:tcBorders/>
          </w:tcPr>
          <w:p>
            <w:pPr>
              <w:pStyle w:val="Normal"/>
              <w:jc w:val="end"/>
              <w:rPr>
                <w:rFonts w:ascii="Arial" w:hAnsi="Arial" w:cs="Arial"/>
                <w:u w:val="single"/>
              </w:rPr>
            </w:pPr>
            <w:r>
              <w:rPr>
                <w:rFonts w:cs="Arial" w:ascii="Arial" w:hAnsi="Arial"/>
                <w:u w:val="single"/>
              </w:rPr>
              <w:t>Sources</w:t>
            </w:r>
          </w:p>
        </w:tc>
        <w:tc>
          <w:tcPr>
            <w:tcW w:w="1710" w:type="dxa"/>
            <w:tcBorders/>
          </w:tcPr>
          <w:p>
            <w:pPr>
              <w:pStyle w:val="Normal"/>
              <w:snapToGrid w:val="false"/>
              <w:jc w:val="end"/>
              <w:rPr>
                <w:rFonts w:ascii="Arial" w:hAnsi="Arial" w:cs="Arial"/>
                <w:u w:val="single"/>
              </w:rPr>
            </w:pPr>
            <w:r>
              <w:rPr>
                <w:rFonts w:cs="Arial" w:ascii="Arial" w:hAnsi="Arial"/>
                <w:u w:val="single"/>
              </w:rPr>
            </w:r>
          </w:p>
        </w:tc>
        <w:tc>
          <w:tcPr>
            <w:tcW w:w="2790" w:type="dxa"/>
            <w:tcBorders/>
          </w:tcPr>
          <w:p>
            <w:pPr>
              <w:pStyle w:val="Normal"/>
              <w:snapToGrid w:val="false"/>
              <w:jc w:val="end"/>
              <w:rPr>
                <w:rFonts w:ascii="Arial" w:hAnsi="Arial" w:cs="Arial"/>
                <w:u w:val="single"/>
              </w:rPr>
            </w:pPr>
            <w:r>
              <w:rPr>
                <w:rFonts w:cs="Arial" w:ascii="Arial" w:hAnsi="Arial"/>
                <w:u w:val="single"/>
              </w:rPr>
            </w:r>
          </w:p>
        </w:tc>
        <w:tc>
          <w:tcPr>
            <w:tcW w:w="2070" w:type="dxa"/>
            <w:tcBorders/>
          </w:tcPr>
          <w:p>
            <w:pPr>
              <w:pStyle w:val="Normal"/>
              <w:jc w:val="end"/>
              <w:rPr>
                <w:rFonts w:ascii="Arial" w:hAnsi="Arial" w:cs="Arial"/>
                <w:u w:val="single"/>
              </w:rPr>
            </w:pPr>
            <w:r>
              <w:rPr>
                <w:rFonts w:cs="Arial" w:ascii="Arial" w:hAnsi="Arial"/>
                <w:u w:val="single"/>
              </w:rPr>
              <w:t>Uses</w:t>
            </w:r>
          </w:p>
        </w:tc>
      </w:tr>
      <w:tr>
        <w:trPr/>
        <w:tc>
          <w:tcPr>
            <w:tcW w:w="2430" w:type="dxa"/>
            <w:tcBorders/>
          </w:tcPr>
          <w:p>
            <w:pPr>
              <w:pStyle w:val="Header"/>
              <w:widowControl/>
              <w:tabs>
                <w:tab w:val="clear" w:pos="4320"/>
                <w:tab w:val="clear" w:pos="8640"/>
              </w:tabs>
              <w:rPr>
                <w:rFonts w:ascii="Arial" w:hAnsi="Arial" w:cs="Arial"/>
              </w:rPr>
            </w:pPr>
            <w:r>
              <w:rPr>
                <w:rFonts w:cs="Arial" w:ascii="Arial" w:hAnsi="Arial"/>
              </w:rPr>
              <w:t>Equity*</w:t>
            </w:r>
          </w:p>
        </w:tc>
        <w:tc>
          <w:tcPr>
            <w:tcW w:w="1260" w:type="dxa"/>
            <w:tcBorders/>
          </w:tcPr>
          <w:p>
            <w:pPr>
              <w:pStyle w:val="Normal"/>
              <w:snapToGrid w:val="false"/>
              <w:jc w:val="end"/>
              <w:rPr>
                <w:rFonts w:ascii="Arial" w:hAnsi="Arial" w:cs="Arial"/>
              </w:rPr>
            </w:pPr>
            <w:r>
              <w:rPr>
                <w:rFonts w:cs="Arial" w:ascii="Arial" w:hAnsi="Arial"/>
              </w:rPr>
            </w:r>
          </w:p>
        </w:tc>
        <w:tc>
          <w:tcPr>
            <w:tcW w:w="1710" w:type="dxa"/>
            <w:tcBorders/>
          </w:tcPr>
          <w:p>
            <w:pPr>
              <w:pStyle w:val="Normal"/>
              <w:snapToGrid w:val="false"/>
              <w:jc w:val="end"/>
              <w:rPr>
                <w:rFonts w:ascii="Arial" w:hAnsi="Arial" w:cs="Arial"/>
              </w:rPr>
            </w:pPr>
            <w:r>
              <w:rPr>
                <w:rFonts w:cs="Arial" w:ascii="Arial" w:hAnsi="Arial"/>
              </w:rPr>
            </w:r>
          </w:p>
        </w:tc>
        <w:tc>
          <w:tcPr>
            <w:tcW w:w="2790" w:type="dxa"/>
            <w:tcBorders/>
          </w:tcPr>
          <w:p>
            <w:pPr>
              <w:pStyle w:val="Header"/>
              <w:widowControl/>
              <w:tabs>
                <w:tab w:val="clear" w:pos="4320"/>
                <w:tab w:val="clear" w:pos="8640"/>
              </w:tabs>
              <w:snapToGrid w:val="false"/>
              <w:rPr>
                <w:rFonts w:ascii="Arial" w:hAnsi="Arial" w:cs="Arial"/>
              </w:rPr>
            </w:pPr>
            <w:r>
              <w:rPr>
                <w:rFonts w:cs="Arial" w:ascii="Arial" w:hAnsi="Arial"/>
              </w:rPr>
            </w:r>
          </w:p>
        </w:tc>
        <w:tc>
          <w:tcPr>
            <w:tcW w:w="2070" w:type="dxa"/>
            <w:tcBorders/>
          </w:tcPr>
          <w:p>
            <w:pPr>
              <w:pStyle w:val="Normal"/>
              <w:snapToGrid w:val="false"/>
              <w:jc w:val="end"/>
              <w:rPr>
                <w:rFonts w:ascii="Arial" w:hAnsi="Arial" w:cs="Arial"/>
              </w:rPr>
            </w:pPr>
            <w:r>
              <w:rPr>
                <w:rFonts w:cs="Arial" w:ascii="Arial" w:hAnsi="Arial"/>
              </w:rPr>
            </w:r>
          </w:p>
        </w:tc>
      </w:tr>
      <w:tr>
        <w:trPr/>
        <w:tc>
          <w:tcPr>
            <w:tcW w:w="2430" w:type="dxa"/>
            <w:tcBorders/>
          </w:tcPr>
          <w:p>
            <w:pPr>
              <w:pStyle w:val="Normal"/>
              <w:snapToGrid w:val="false"/>
              <w:rPr>
                <w:rFonts w:ascii="Arial" w:hAnsi="Arial" w:cs="Arial"/>
              </w:rPr>
            </w:pPr>
            <w:r>
              <w:rPr>
                <w:rFonts w:cs="Arial" w:ascii="Arial" w:hAnsi="Arial"/>
              </w:rPr>
            </w:r>
          </w:p>
        </w:tc>
        <w:tc>
          <w:tcPr>
            <w:tcW w:w="1260" w:type="dxa"/>
            <w:tcBorders/>
          </w:tcPr>
          <w:p>
            <w:pPr>
              <w:pStyle w:val="Normal"/>
              <w:jc w:val="end"/>
              <w:rPr>
                <w:rFonts w:ascii="Arial" w:hAnsi="Arial" w:cs="Arial"/>
              </w:rPr>
            </w:pPr>
            <w:r>
              <w:rPr>
                <w:rFonts w:cs="Arial" w:ascii="Arial" w:hAnsi="Arial"/>
              </w:rPr>
              <w:t>500,000</w:t>
            </w:r>
          </w:p>
        </w:tc>
        <w:tc>
          <w:tcPr>
            <w:tcW w:w="1710" w:type="dxa"/>
            <w:tcBorders/>
          </w:tcPr>
          <w:p>
            <w:pPr>
              <w:pStyle w:val="Normal"/>
              <w:snapToGrid w:val="false"/>
              <w:jc w:val="end"/>
              <w:rPr>
                <w:rFonts w:ascii="Arial" w:hAnsi="Arial" w:cs="Arial"/>
              </w:rPr>
            </w:pPr>
            <w:r>
              <w:rPr>
                <w:rFonts w:cs="Arial" w:ascii="Arial" w:hAnsi="Arial"/>
              </w:rPr>
            </w:r>
          </w:p>
        </w:tc>
        <w:tc>
          <w:tcPr>
            <w:tcW w:w="2790" w:type="dxa"/>
            <w:tcBorders/>
          </w:tcPr>
          <w:p>
            <w:pPr>
              <w:pStyle w:val="Normal"/>
              <w:snapToGrid w:val="false"/>
              <w:rPr>
                <w:rFonts w:ascii="Arial" w:hAnsi="Arial" w:cs="Arial"/>
              </w:rPr>
            </w:pPr>
            <w:r>
              <w:rPr>
                <w:rFonts w:cs="Arial" w:ascii="Arial" w:hAnsi="Arial"/>
              </w:rPr>
            </w:r>
          </w:p>
        </w:tc>
        <w:tc>
          <w:tcPr>
            <w:tcW w:w="2070" w:type="dxa"/>
            <w:tcBorders/>
          </w:tcPr>
          <w:p>
            <w:pPr>
              <w:pStyle w:val="Normal"/>
              <w:jc w:val="end"/>
              <w:rPr>
                <w:rFonts w:ascii="Arial" w:hAnsi="Arial" w:cs="Arial"/>
              </w:rPr>
            </w:pPr>
            <w:r>
              <w:rPr>
                <w:rFonts w:cs="Arial" w:ascii="Arial" w:hAnsi="Arial"/>
              </w:rPr>
              <w:t>500,000</w:t>
            </w:r>
          </w:p>
        </w:tc>
      </w:tr>
      <w:tr>
        <w:trPr/>
        <w:tc>
          <w:tcPr>
            <w:tcW w:w="2430" w:type="dxa"/>
            <w:tcBorders/>
          </w:tcPr>
          <w:p>
            <w:pPr>
              <w:pStyle w:val="Normal"/>
              <w:rPr>
                <w:rFonts w:ascii="Arial" w:hAnsi="Arial" w:cs="Arial"/>
              </w:rPr>
            </w:pPr>
            <w:r>
              <w:rPr>
                <w:rFonts w:eastAsia="Arial" w:cs="Arial" w:ascii="Arial" w:hAnsi="Arial"/>
              </w:rPr>
              <w:t xml:space="preserve">    </w:t>
            </w:r>
            <w:r>
              <w:rPr>
                <w:rFonts w:cs="Arial" w:ascii="Arial" w:hAnsi="Arial"/>
              </w:rPr>
              <w:t>Total</w:t>
            </w:r>
          </w:p>
        </w:tc>
        <w:tc>
          <w:tcPr>
            <w:tcW w:w="1260" w:type="dxa"/>
            <w:tcBorders>
              <w:top w:val="single" w:sz="4" w:space="0" w:color="000000"/>
            </w:tcBorders>
          </w:tcPr>
          <w:p>
            <w:pPr>
              <w:pStyle w:val="Normal"/>
              <w:jc w:val="center"/>
              <w:rPr>
                <w:rFonts w:ascii="Arial" w:hAnsi="Arial" w:cs="Arial"/>
              </w:rPr>
            </w:pPr>
            <w:r>
              <w:rPr>
                <w:rFonts w:eastAsia="Arial" w:cs="Arial" w:ascii="Arial" w:hAnsi="Arial"/>
              </w:rPr>
              <w:t xml:space="preserve">     </w:t>
            </w:r>
            <w:r>
              <w:rPr>
                <w:rFonts w:cs="Arial" w:ascii="Arial" w:hAnsi="Arial"/>
              </w:rPr>
              <w:t>$500,000</w:t>
            </w:r>
          </w:p>
        </w:tc>
        <w:tc>
          <w:tcPr>
            <w:tcW w:w="1710" w:type="dxa"/>
            <w:tcBorders/>
          </w:tcPr>
          <w:p>
            <w:pPr>
              <w:pStyle w:val="Normal"/>
              <w:snapToGrid w:val="false"/>
              <w:jc w:val="end"/>
              <w:rPr>
                <w:rFonts w:ascii="Arial" w:hAnsi="Arial" w:cs="Arial"/>
              </w:rPr>
            </w:pPr>
            <w:r>
              <w:rPr>
                <w:rFonts w:cs="Arial" w:ascii="Arial" w:hAnsi="Arial"/>
              </w:rPr>
            </w:r>
          </w:p>
        </w:tc>
        <w:tc>
          <w:tcPr>
            <w:tcW w:w="2790" w:type="dxa"/>
            <w:tcBorders/>
          </w:tcPr>
          <w:p>
            <w:pPr>
              <w:pStyle w:val="Normal"/>
              <w:rPr>
                <w:rFonts w:ascii="Arial" w:hAnsi="Arial" w:cs="Arial"/>
              </w:rPr>
            </w:pPr>
            <w:r>
              <w:rPr>
                <w:rFonts w:eastAsia="Arial" w:cs="Arial" w:ascii="Arial" w:hAnsi="Arial"/>
              </w:rPr>
              <w:t xml:space="preserve">    </w:t>
            </w:r>
            <w:r>
              <w:rPr>
                <w:rFonts w:cs="Arial" w:ascii="Arial" w:hAnsi="Arial"/>
              </w:rPr>
              <w:t>Total</w:t>
            </w:r>
          </w:p>
        </w:tc>
        <w:tc>
          <w:tcPr>
            <w:tcW w:w="2070" w:type="dxa"/>
            <w:tcBorders>
              <w:top w:val="single" w:sz="4" w:space="0" w:color="000000"/>
            </w:tcBorders>
          </w:tcPr>
          <w:p>
            <w:pPr>
              <w:pStyle w:val="Normal"/>
              <w:jc w:val="end"/>
              <w:rPr>
                <w:rFonts w:ascii="Arial" w:hAnsi="Arial" w:cs="Arial"/>
              </w:rPr>
            </w:pPr>
            <w:r>
              <w:rPr>
                <w:rFonts w:cs="Arial" w:ascii="Arial" w:hAnsi="Arial"/>
              </w:rPr>
              <w:t>$500,000</w:t>
            </w:r>
          </w:p>
        </w:tc>
      </w:tr>
    </w:tbl>
    <w:p>
      <w:pPr>
        <w:pStyle w:val="Heading2"/>
        <w:widowControl/>
        <w:ind w:hanging="0" w:start="0" w:end="-36"/>
        <w:rPr>
          <w:rFonts w:ascii="Arial" w:hAnsi="Arial" w:cs="Arial"/>
          <w:i w:val="false"/>
          <w:i w:val="false"/>
        </w:rPr>
      </w:pPr>
      <w:r>
        <w:rPr>
          <w:rFonts w:cs="Arial" w:ascii="Arial" w:hAnsi="Arial"/>
          <w:i w:val="false"/>
        </w:rPr>
      </w:r>
    </w:p>
    <w:p>
      <w:pPr>
        <w:pStyle w:val="Heading2"/>
        <w:widowControl/>
        <w:ind w:hanging="0" w:start="0" w:end="-36"/>
        <w:rPr/>
      </w:pPr>
      <w:r>
        <w:rPr>
          <w:rFonts w:cs="Arial" w:ascii="Arial" w:hAnsi="Arial"/>
          <w:b w:val="false"/>
          <w:i w:val="false"/>
          <w:sz w:val="16"/>
        </w:rPr>
        <w:t>*</w:t>
      </w:r>
      <w:r>
        <w:rPr>
          <w:rFonts w:cs="Arial" w:ascii="Arial" w:hAnsi="Arial"/>
          <w:i w:val="false"/>
          <w:sz w:val="16"/>
        </w:rPr>
        <w:t>On balance sheet.</w:t>
      </w:r>
    </w:p>
    <w:p>
      <w:pPr>
        <w:pStyle w:val="Header"/>
        <w:widowControl/>
        <w:tabs>
          <w:tab w:val="clear" w:pos="4320"/>
          <w:tab w:val="clear" w:pos="8640"/>
        </w:tabs>
        <w:rPr>
          <w:rFonts w:ascii="Arial" w:hAnsi="Arial" w:cs="Arial"/>
          <w:i/>
          <w:i/>
          <w:sz w:val="16"/>
        </w:rPr>
      </w:pPr>
      <w:r>
        <w:rPr>
          <w:rFonts w:cs="Arial" w:ascii="Arial" w:hAnsi="Arial"/>
          <w:i/>
          <w:sz w:val="16"/>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 xml:space="preserve">RISK MATRIX </w:t>
      </w:r>
    </w:p>
    <w:p>
      <w:pPr>
        <w:pStyle w:val="Normal"/>
        <w:rPr>
          <w:rFonts w:ascii="Arial" w:hAnsi="Arial" w:cs="Arial"/>
          <w:i/>
          <w:i/>
        </w:rPr>
      </w:pPr>
      <w:r>
        <w:rPr>
          <w:rFonts w:cs="Arial" w:ascii="Arial" w:hAnsi="Arial"/>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rPr>
            </w:pPr>
            <w:r>
              <w:rPr>
                <w:rFonts w:cs="Arial" w:ascii="Arial" w:hAnsi="Arial"/>
                <w:b/>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rPr>
            </w:pPr>
            <w:r>
              <w:rPr>
                <w:rFonts w:cs="Arial" w:ascii="Arial" w:hAnsi="Arial"/>
                <w:b/>
              </w:rPr>
              <w:t>MITIGATION/COMMENTS</w:t>
            </w:r>
          </w:p>
        </w:tc>
      </w:tr>
      <w:tr>
        <w:trPr>
          <w:trHeight w:val="63" w:hRule="atLeast"/>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rPr>
            </w:pPr>
            <w:r>
              <w:rPr>
                <w:rFonts w:cs="Arial" w:ascii="Arial" w:hAnsi="Arial"/>
                <w:b/>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ind w:end="-36"/>
              <w:rPr>
                <w:rFonts w:ascii="Arial" w:hAnsi="Arial" w:cs="Arial"/>
              </w:rPr>
            </w:pPr>
            <w:r>
              <w:rPr>
                <w:rFonts w:cs="Arial" w:ascii="Arial" w:hAnsi="Arial"/>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ind w:end="-36"/>
              <w:rPr>
                <w:rFonts w:ascii="Arial" w:hAnsi="Arial" w:cs="Arial"/>
              </w:rPr>
            </w:pPr>
            <w:r>
              <w:rPr>
                <w:rFonts w:cs="Arial" w:ascii="Arial" w:hAnsi="Arial"/>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Environmental / Permitting Risk</w:t>
            </w:r>
          </w:p>
        </w:tc>
        <w:tc>
          <w:tcPr>
            <w:tcW w:w="5670" w:type="dxa"/>
            <w:tcBorders>
              <w:top w:val="single" w:sz="6" w:space="0" w:color="000000"/>
              <w:start w:val="single" w:sz="6" w:space="0" w:color="000000"/>
              <w:bottom w:val="single" w:sz="6" w:space="0" w:color="000000"/>
              <w:end w:val="single" w:sz="6" w:space="0" w:color="000000"/>
            </w:tcBorders>
          </w:tcPr>
          <w:p>
            <w:pPr>
              <w:pStyle w:val="Normal"/>
              <w:ind w:end="-36"/>
              <w:rPr>
                <w:rFonts w:ascii="Arial" w:hAnsi="Arial" w:cs="Arial"/>
              </w:rPr>
            </w:pPr>
            <w:r>
              <w:rPr>
                <w:rFonts w:cs="Arial" w:ascii="Arial" w:hAnsi="Arial"/>
              </w:rPr>
              <w:t xml:space="preserve">Development of power generation facilities in the south Florida market is extremely difficult due to local opposition. Continued appeal of DBEC’s air and zoning permits could result in an extended delay or otherwise make the project infeasible.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ind w:end="-36"/>
              <w:rPr>
                <w:rFonts w:ascii="Arial" w:hAnsi="Arial" w:cs="Arial"/>
              </w:rPr>
            </w:pPr>
            <w:r>
              <w:rPr>
                <w:rFonts w:cs="Arial" w:ascii="Arial" w:hAnsi="Arial"/>
              </w:rPr>
              <w:t>Notwithstanding the locational value of the DBEC facility, the Florida market could experience a sustained depression in power prices, which would adversely impact the value of DBEC.</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ind w:end="-36"/>
              <w:rPr>
                <w:rFonts w:ascii="Arial" w:hAnsi="Arial" w:cs="Arial"/>
              </w:rPr>
            </w:pPr>
            <w:r>
              <w:rPr>
                <w:rFonts w:cs="Arial" w:ascii="Arial" w:hAnsi="Arial"/>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ind w:end="-36"/>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b/>
        </w:rPr>
      </w:pPr>
      <w:r>
        <w:rPr>
          <w:b/>
        </w:rPr>
        <w:t>___________________________________________________________________________________________________</w:t>
      </w:r>
    </w:p>
    <w:p>
      <w:pPr>
        <w:pStyle w:val="Heading1"/>
        <w:pBdr>
          <w:top w:val="single" w:sz="8" w:space="1" w:color="000000"/>
        </w:pBdr>
        <w:ind w:hanging="0" w:start="0"/>
        <w:rPr>
          <w:rFonts w:ascii="Arial" w:hAnsi="Arial" w:cs="Arial"/>
          <w:b w:val="false"/>
        </w:rPr>
      </w:pPr>
      <w:r>
        <w:rPr>
          <w:rFonts w:cs="Arial" w:ascii="Arial" w:hAnsi="Arial"/>
        </w:rPr>
        <w:t>KEY SUCCESS FACTORS</w:t>
      </w:r>
    </w:p>
    <w:p>
      <w:pPr>
        <w:pStyle w:val="Normal"/>
        <w:rPr>
          <w:rFonts w:ascii="Arial" w:hAnsi="Arial" w:cs="Arial"/>
          <w:b/>
        </w:rPr>
      </w:pPr>
      <w:r>
        <w:rPr>
          <w:rFonts w:cs="Arial" w:ascii="Arial" w:hAnsi="Arial"/>
          <w:b/>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eastAsia="Arial" w:cs="Arial" w:ascii="Arial" w:hAnsi="Arial"/>
                <w:b/>
              </w:rPr>
              <w:t xml:space="preserve">                                                                         </w:t>
            </w:r>
            <w:r>
              <w:rPr>
                <w:rFonts w:cs="Arial" w:ascii="Arial" w:hAnsi="Arial"/>
                <w:b/>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eastAsia="Arial" w:cs="Arial" w:ascii="Arial" w:hAnsi="Arial"/>
                <w:b/>
              </w:rPr>
              <w:t xml:space="preserve">                                                 </w:t>
            </w:r>
            <w:r>
              <w:rPr>
                <w:rFonts w:cs="Arial" w:ascii="Arial" w:hAnsi="Arial"/>
                <w:b/>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6"/>
              <w:tabs>
                <w:tab w:val="clear" w:pos="360"/>
                <w:tab w:val="left" w:pos="4162" w:leader="none"/>
              </w:tabs>
              <w:rPr>
                <w:rFonts w:ascii="Arial" w:hAnsi="Arial" w:cs="Arial"/>
              </w:rPr>
            </w:pPr>
            <w:r>
              <w:rPr>
                <w:rFonts w:eastAsia="Arial" w:cs="Arial" w:ascii="Arial" w:hAnsi="Arial"/>
              </w:rPr>
              <w:t xml:space="preserve">                            </w:t>
            </w:r>
            <w:r>
              <w:rPr>
                <w:rFonts w:cs="Arial" w:ascii="Arial" w:hAnsi="Arial"/>
              </w:rPr>
              <w:tab/>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X</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360"/>
                <w:tab w:val="center" w:pos="2502" w:leader="none"/>
              </w:tabs>
              <w:rPr>
                <w:rFonts w:ascii="Arial" w:hAnsi="Arial" w:cs="Arial"/>
                <w:b/>
              </w:rPr>
            </w:pPr>
            <w:r>
              <w:rPr>
                <w:rFonts w:eastAsia="Arial" w:cs="Arial" w:ascii="Arial" w:hAnsi="Arial"/>
                <w:b/>
              </w:rPr>
              <w:t xml:space="preserve">                         </w:t>
            </w:r>
            <w:r>
              <w:rPr>
                <w:rFonts w:cs="Arial" w:ascii="Arial" w:hAnsi="Arial"/>
                <w:b/>
              </w:rPr>
              <w:tab/>
              <w:t>x</w:t>
            </w:r>
          </w:p>
        </w:tc>
      </w:tr>
    </w:tbl>
    <w:p>
      <w:pPr>
        <w:pStyle w:val="Header"/>
        <w:widowControl/>
        <w:tabs>
          <w:tab w:val="clear" w:pos="4320"/>
          <w:tab w:val="clear" w:pos="8640"/>
        </w:tabs>
        <w:rPr>
          <w:rFonts w:ascii="Arial" w:hAnsi="Arial" w:cs="Arial"/>
        </w:rPr>
      </w:pPr>
      <w:r>
        <w:rPr>
          <w:rFonts w:cs="Arial" w:ascii="Arial" w:hAnsi="Arial"/>
        </w:rPr>
      </w:r>
    </w:p>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rPr>
      </w:pPr>
      <w:r>
        <w:rPr>
          <w:rFonts w:cs="Arial" w:ascii="Arial" w:hAnsi="Arial"/>
          <w:b/>
        </w:rPr>
        <w:t xml:space="preserve">OTHER COMMENTS: </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Through September 18, 2001, the development team has spent $1.223 million with respect to DBEC through its pre-approved development budget.   Realizing any return on this investment is highly dependent upon successful execution of the Exit Strategy.</w:t>
      </w:r>
    </w:p>
    <w:p>
      <w:pPr>
        <w:pStyle w:val="Normal"/>
        <w:rPr>
          <w:rFonts w:ascii="Arial" w:hAnsi="Arial" w:cs="Arial"/>
        </w:rPr>
      </w:pPr>
      <w:r>
        <w:rPr>
          <w:rFonts w:cs="Arial" w:ascii="Arial" w:hAnsi="Arial"/>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rPr>
            </w:pPr>
            <w:r>
              <w:rPr>
                <w:rFonts w:cs="Arial" w:ascii="Arial" w:hAnsi="Arial"/>
                <w:b/>
                <w:i/>
              </w:rPr>
            </w:r>
          </w:p>
        </w:tc>
        <w:tc>
          <w:tcPr>
            <w:tcW w:w="2932" w:type="dxa"/>
            <w:tcBorders>
              <w:top w:val="single" w:sz="4" w:space="0" w:color="000000"/>
            </w:tcBorders>
            <w:vAlign w:val="bottom"/>
          </w:tcPr>
          <w:p>
            <w:pPr>
              <w:pStyle w:val="Normal"/>
              <w:keepNext w:val="true"/>
              <w:jc w:val="center"/>
              <w:rPr>
                <w:rFonts w:ascii="Arial" w:hAnsi="Arial" w:cs="Arial"/>
                <w:b/>
              </w:rPr>
            </w:pPr>
            <w:r>
              <w:rPr>
                <w:rFonts w:cs="Arial" w:ascii="Arial" w:hAnsi="Arial"/>
                <w:b/>
              </w:rPr>
              <w:t>Name</w:t>
            </w:r>
          </w:p>
        </w:tc>
        <w:tc>
          <w:tcPr>
            <w:tcW w:w="354" w:type="dxa"/>
            <w:tcBorders>
              <w:top w:val="single" w:sz="4" w:space="0" w:color="000000"/>
            </w:tcBorders>
            <w:vAlign w:val="bottom"/>
          </w:tcPr>
          <w:p>
            <w:pPr>
              <w:pStyle w:val="Normal"/>
              <w:keepNext w:val="true"/>
              <w:snapToGrid w:val="false"/>
              <w:jc w:val="center"/>
              <w:rPr>
                <w:rFonts w:ascii="Arial" w:hAnsi="Arial" w:cs="Arial"/>
                <w:b/>
              </w:rPr>
            </w:pPr>
            <w:r>
              <w:rPr>
                <w:rFonts w:cs="Arial" w:ascii="Arial" w:hAnsi="Arial"/>
                <w:b/>
              </w:rPr>
            </w:r>
          </w:p>
        </w:tc>
        <w:tc>
          <w:tcPr>
            <w:tcW w:w="2924" w:type="dxa"/>
            <w:tcBorders>
              <w:top w:val="single" w:sz="4" w:space="0" w:color="000000"/>
            </w:tcBorders>
            <w:vAlign w:val="bottom"/>
          </w:tcPr>
          <w:p>
            <w:pPr>
              <w:pStyle w:val="Normal"/>
              <w:keepNext w:val="true"/>
              <w:jc w:val="center"/>
              <w:rPr>
                <w:rFonts w:ascii="Arial" w:hAnsi="Arial" w:cs="Arial"/>
                <w:b/>
              </w:rPr>
            </w:pPr>
            <w:r>
              <w:rPr>
                <w:rFonts w:cs="Arial" w:ascii="Arial" w:hAnsi="Arial"/>
                <w:b/>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rPr>
            </w:pPr>
            <w:r>
              <w:rPr>
                <w:rFonts w:cs="Arial" w:ascii="Arial" w:hAnsi="Arial"/>
                <w:b/>
              </w:rPr>
            </w:r>
          </w:p>
        </w:tc>
        <w:tc>
          <w:tcPr>
            <w:tcW w:w="1057" w:type="dxa"/>
            <w:tcBorders>
              <w:top w:val="single" w:sz="4" w:space="0" w:color="000000"/>
            </w:tcBorders>
            <w:vAlign w:val="bottom"/>
          </w:tcPr>
          <w:p>
            <w:pPr>
              <w:pStyle w:val="Normal"/>
              <w:keepNext w:val="true"/>
              <w:jc w:val="center"/>
              <w:rPr>
                <w:rFonts w:ascii="Arial" w:hAnsi="Arial" w:cs="Arial"/>
                <w:b/>
              </w:rPr>
            </w:pPr>
            <w:r>
              <w:rPr>
                <w:rFonts w:cs="Arial" w:ascii="Arial" w:hAnsi="Arial"/>
                <w:b/>
              </w:rPr>
              <w:t>Date</w:t>
            </w:r>
          </w:p>
        </w:tc>
      </w:tr>
      <w:tr>
        <w:trPr/>
        <w:tc>
          <w:tcPr>
            <w:tcW w:w="2448" w:type="dxa"/>
            <w:tcBorders/>
          </w:tcPr>
          <w:p>
            <w:pPr>
              <w:pStyle w:val="Normal"/>
              <w:spacing w:before="120" w:after="0"/>
              <w:rPr>
                <w:rFonts w:ascii="Arial" w:hAnsi="Arial" w:cs="Arial"/>
              </w:rPr>
            </w:pPr>
            <w:r>
              <w:rPr>
                <w:rFonts w:cs="Arial" w:ascii="Arial" w:hAnsi="Arial"/>
              </w:rPr>
              <w:t>Deal Origination</w:t>
            </w:r>
          </w:p>
        </w:tc>
        <w:tc>
          <w:tcPr>
            <w:tcW w:w="360" w:type="dxa"/>
            <w:tcBorders/>
          </w:tcPr>
          <w:p>
            <w:pPr>
              <w:pStyle w:val="Normal"/>
              <w:snapToGrid w:val="false"/>
              <w:spacing w:before="120" w:after="0"/>
              <w:rPr>
                <w:rFonts w:ascii="Arial" w:hAnsi="Arial" w:cs="Arial"/>
              </w:rPr>
            </w:pPr>
            <w:r>
              <w:rPr>
                <w:rFonts w:cs="Arial" w:ascii="Arial" w:hAnsi="Arial"/>
              </w:rPr>
            </w:r>
          </w:p>
        </w:tc>
        <w:tc>
          <w:tcPr>
            <w:tcW w:w="2932" w:type="dxa"/>
            <w:tcBorders>
              <w:top w:val="single" w:sz="6" w:space="0" w:color="000000"/>
              <w:bottom w:val="single" w:sz="6" w:space="0" w:color="000000"/>
            </w:tcBorders>
          </w:tcPr>
          <w:p>
            <w:pPr>
              <w:pStyle w:val="Normal"/>
              <w:spacing w:before="120" w:after="0"/>
              <w:rPr>
                <w:rFonts w:ascii="Arial" w:hAnsi="Arial" w:cs="Arial"/>
              </w:rPr>
            </w:pPr>
            <w:r>
              <w:rPr>
                <w:rFonts w:cs="Arial" w:ascii="Arial" w:hAnsi="Arial"/>
              </w:rPr>
              <w:t>Steve Krimsky / Ben Jacoby</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r>
        <w:trPr/>
        <w:tc>
          <w:tcPr>
            <w:tcW w:w="2448" w:type="dxa"/>
            <w:tcBorders/>
          </w:tcPr>
          <w:p>
            <w:pPr>
              <w:pStyle w:val="Normal"/>
              <w:spacing w:before="120" w:after="0"/>
              <w:rPr>
                <w:rFonts w:ascii="Arial" w:hAnsi="Arial" w:cs="Arial"/>
              </w:rPr>
            </w:pPr>
            <w:r>
              <w:rPr>
                <w:rFonts w:cs="Arial" w:ascii="Arial" w:hAnsi="Arial"/>
              </w:rPr>
              <w:t>East Origination</w:t>
            </w:r>
          </w:p>
        </w:tc>
        <w:tc>
          <w:tcPr>
            <w:tcW w:w="360" w:type="dxa"/>
            <w:tcBorders/>
          </w:tcPr>
          <w:p>
            <w:pPr>
              <w:pStyle w:val="Normal"/>
              <w:snapToGrid w:val="false"/>
              <w:spacing w:before="120" w:after="0"/>
              <w:rPr>
                <w:rFonts w:ascii="Arial" w:hAnsi="Arial" w:cs="Arial"/>
              </w:rPr>
            </w:pPr>
            <w:r>
              <w:rPr>
                <w:rFonts w:cs="Arial" w:ascii="Arial" w:hAnsi="Arial"/>
              </w:rPr>
            </w:r>
          </w:p>
        </w:tc>
        <w:tc>
          <w:tcPr>
            <w:tcW w:w="2932" w:type="dxa"/>
            <w:tcBorders>
              <w:top w:val="single" w:sz="6" w:space="0" w:color="000000"/>
              <w:bottom w:val="single" w:sz="6" w:space="0" w:color="000000"/>
            </w:tcBorders>
          </w:tcPr>
          <w:p>
            <w:pPr>
              <w:pStyle w:val="Normal"/>
              <w:spacing w:before="120" w:after="0"/>
              <w:rPr>
                <w:rFonts w:ascii="Arial" w:hAnsi="Arial" w:cs="Arial"/>
              </w:rPr>
            </w:pPr>
            <w:r>
              <w:rPr>
                <w:rFonts w:cs="Arial" w:ascii="Arial" w:hAnsi="Arial"/>
              </w:rPr>
              <w:t>Dave Duran</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r>
        <w:trPr/>
        <w:tc>
          <w:tcPr>
            <w:tcW w:w="2448" w:type="dxa"/>
            <w:tcBorders/>
          </w:tcPr>
          <w:p>
            <w:pPr>
              <w:pStyle w:val="Normal"/>
              <w:spacing w:before="120" w:after="0"/>
              <w:rPr>
                <w:rFonts w:ascii="Arial" w:hAnsi="Arial" w:cs="Arial"/>
              </w:rPr>
            </w:pPr>
            <w:r>
              <w:rPr>
                <w:rFonts w:cs="Arial" w:ascii="Arial" w:hAnsi="Arial"/>
              </w:rPr>
              <w:t>Americas Legal</w:t>
            </w:r>
          </w:p>
        </w:tc>
        <w:tc>
          <w:tcPr>
            <w:tcW w:w="360" w:type="dxa"/>
            <w:tcBorders/>
          </w:tcPr>
          <w:p>
            <w:pPr>
              <w:pStyle w:val="Normal"/>
              <w:snapToGrid w:val="false"/>
              <w:spacing w:before="120" w:after="0"/>
              <w:rPr>
                <w:rFonts w:ascii="Arial" w:hAnsi="Arial" w:cs="Arial"/>
              </w:rPr>
            </w:pPr>
            <w:r>
              <w:rPr>
                <w:rFonts w:cs="Arial" w:ascii="Arial" w:hAnsi="Arial"/>
              </w:rPr>
            </w:r>
          </w:p>
        </w:tc>
        <w:tc>
          <w:tcPr>
            <w:tcW w:w="2932" w:type="dxa"/>
            <w:tcBorders>
              <w:top w:val="single" w:sz="6" w:space="0" w:color="000000"/>
              <w:bottom w:val="single" w:sz="6" w:space="0" w:color="000000"/>
            </w:tcBorders>
          </w:tcPr>
          <w:p>
            <w:pPr>
              <w:pStyle w:val="Normal"/>
              <w:spacing w:before="120" w:after="0"/>
              <w:rPr>
                <w:rFonts w:ascii="Arial" w:hAnsi="Arial" w:cs="Arial"/>
              </w:rPr>
            </w:pPr>
            <w:r>
              <w:rPr>
                <w:rFonts w:cs="Arial" w:ascii="Arial" w:hAnsi="Arial"/>
              </w:rPr>
              <w:t>Kay Mann / Mark Haedicke</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r>
        <w:trPr/>
        <w:tc>
          <w:tcPr>
            <w:tcW w:w="2448" w:type="dxa"/>
            <w:tcBorders/>
          </w:tcPr>
          <w:p>
            <w:pPr>
              <w:pStyle w:val="Normal"/>
              <w:spacing w:before="120" w:after="0"/>
              <w:rPr>
                <w:rFonts w:ascii="Arial" w:hAnsi="Arial" w:cs="Arial"/>
              </w:rPr>
            </w:pPr>
            <w:r>
              <w:rPr>
                <w:rFonts w:cs="Arial" w:ascii="Arial" w:hAnsi="Arial"/>
              </w:rPr>
              <w:t>Americas Finance</w:t>
            </w:r>
          </w:p>
        </w:tc>
        <w:tc>
          <w:tcPr>
            <w:tcW w:w="360" w:type="dxa"/>
            <w:tcBorders/>
          </w:tcPr>
          <w:p>
            <w:pPr>
              <w:pStyle w:val="Normal"/>
              <w:snapToGrid w:val="false"/>
              <w:spacing w:before="120" w:after="0"/>
              <w:rPr>
                <w:rFonts w:ascii="Arial" w:hAnsi="Arial" w:cs="Arial"/>
              </w:rPr>
            </w:pPr>
            <w:r>
              <w:rPr>
                <w:rFonts w:cs="Arial" w:ascii="Arial" w:hAnsi="Arial"/>
              </w:rPr>
            </w:r>
          </w:p>
        </w:tc>
        <w:tc>
          <w:tcPr>
            <w:tcW w:w="2932" w:type="dxa"/>
            <w:tcBorders>
              <w:top w:val="single" w:sz="6" w:space="0" w:color="000000"/>
              <w:bottom w:val="single" w:sz="6" w:space="0" w:color="000000"/>
            </w:tcBorders>
          </w:tcPr>
          <w:p>
            <w:pPr>
              <w:pStyle w:val="Header"/>
              <w:widowControl/>
              <w:tabs>
                <w:tab w:val="clear" w:pos="4320"/>
                <w:tab w:val="clear" w:pos="8640"/>
              </w:tabs>
              <w:spacing w:before="120" w:after="0"/>
              <w:rPr>
                <w:rFonts w:ascii="Arial" w:hAnsi="Arial" w:cs="Arial"/>
              </w:rPr>
            </w:pPr>
            <w:r>
              <w:rPr>
                <w:rFonts w:cs="Arial" w:ascii="Arial" w:hAnsi="Arial"/>
              </w:rPr>
              <w:t>Joe Deffner</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r>
        <w:trPr>
          <w:trHeight w:val="65" w:hRule="atLeast"/>
        </w:trPr>
        <w:tc>
          <w:tcPr>
            <w:tcW w:w="2448" w:type="dxa"/>
            <w:tcBorders/>
          </w:tcPr>
          <w:p>
            <w:pPr>
              <w:pStyle w:val="Normal"/>
              <w:snapToGrid w:val="false"/>
              <w:spacing w:before="120" w:after="0"/>
              <w:rPr>
                <w:rFonts w:ascii="Arial" w:hAnsi="Arial" w:cs="Arial"/>
              </w:rPr>
            </w:pPr>
            <w:r>
              <w:rPr>
                <w:rFonts w:cs="Arial" w:ascii="Arial" w:hAnsi="Arial"/>
              </w:rPr>
            </w:r>
          </w:p>
        </w:tc>
        <w:tc>
          <w:tcPr>
            <w:tcW w:w="360" w:type="dxa"/>
            <w:tcBorders/>
          </w:tcPr>
          <w:p>
            <w:pPr>
              <w:pStyle w:val="Normal"/>
              <w:snapToGrid w:val="false"/>
              <w:spacing w:before="120" w:after="0"/>
              <w:rPr>
                <w:rFonts w:ascii="Arial" w:hAnsi="Arial" w:cs="Arial"/>
              </w:rPr>
            </w:pPr>
            <w:r>
              <w:rPr>
                <w:rFonts w:cs="Arial" w:ascii="Arial" w:hAnsi="Arial"/>
              </w:rPr>
            </w:r>
          </w:p>
        </w:tc>
        <w:tc>
          <w:tcPr>
            <w:tcW w:w="2932"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r>
        <w:trPr/>
        <w:tc>
          <w:tcPr>
            <w:tcW w:w="2448" w:type="dxa"/>
            <w:tcBorders/>
          </w:tcPr>
          <w:p>
            <w:pPr>
              <w:pStyle w:val="Normal"/>
              <w:spacing w:before="120" w:after="0"/>
              <w:rPr>
                <w:rFonts w:ascii="Arial" w:hAnsi="Arial" w:cs="Arial"/>
              </w:rPr>
            </w:pPr>
            <w:r>
              <w:rPr>
                <w:rFonts w:cs="Arial" w:ascii="Arial" w:hAnsi="Arial"/>
              </w:rPr>
              <w:t>Americas Accounting</w:t>
            </w:r>
          </w:p>
        </w:tc>
        <w:tc>
          <w:tcPr>
            <w:tcW w:w="360" w:type="dxa"/>
            <w:tcBorders/>
          </w:tcPr>
          <w:p>
            <w:pPr>
              <w:pStyle w:val="Normal"/>
              <w:snapToGrid w:val="false"/>
              <w:spacing w:before="120" w:after="0"/>
              <w:rPr>
                <w:rFonts w:ascii="Arial" w:hAnsi="Arial" w:cs="Arial"/>
              </w:rPr>
            </w:pPr>
            <w:r>
              <w:rPr>
                <w:rFonts w:cs="Arial" w:ascii="Arial" w:hAnsi="Arial"/>
              </w:rPr>
            </w:r>
          </w:p>
        </w:tc>
        <w:tc>
          <w:tcPr>
            <w:tcW w:w="2932" w:type="dxa"/>
            <w:tcBorders>
              <w:top w:val="single" w:sz="6" w:space="0" w:color="000000"/>
              <w:bottom w:val="single" w:sz="6" w:space="0" w:color="000000"/>
            </w:tcBorders>
          </w:tcPr>
          <w:p>
            <w:pPr>
              <w:pStyle w:val="Normal"/>
              <w:spacing w:before="120" w:after="0"/>
              <w:rPr>
                <w:rFonts w:ascii="Arial" w:hAnsi="Arial" w:cs="Arial"/>
              </w:rPr>
            </w:pPr>
            <w:r>
              <w:rPr>
                <w:rFonts w:cs="Arial" w:ascii="Arial" w:hAnsi="Arial"/>
              </w:rPr>
              <w:t>Billy Fleenor</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r>
        <w:trPr/>
        <w:tc>
          <w:tcPr>
            <w:tcW w:w="2448" w:type="dxa"/>
            <w:tcBorders/>
          </w:tcPr>
          <w:p>
            <w:pPr>
              <w:pStyle w:val="Normal"/>
              <w:spacing w:before="120" w:after="0"/>
              <w:rPr>
                <w:rFonts w:ascii="Arial" w:hAnsi="Arial" w:cs="Arial"/>
              </w:rPr>
            </w:pPr>
            <w:r>
              <w:rPr>
                <w:rFonts w:cs="Arial" w:ascii="Arial" w:hAnsi="Arial"/>
              </w:rPr>
              <w:t>Americas Management</w:t>
            </w:r>
          </w:p>
        </w:tc>
        <w:tc>
          <w:tcPr>
            <w:tcW w:w="360" w:type="dxa"/>
            <w:tcBorders/>
          </w:tcPr>
          <w:p>
            <w:pPr>
              <w:pStyle w:val="Normal"/>
              <w:snapToGrid w:val="false"/>
              <w:spacing w:before="120" w:after="0"/>
              <w:rPr>
                <w:rFonts w:ascii="Arial" w:hAnsi="Arial" w:cs="Arial"/>
              </w:rPr>
            </w:pPr>
            <w:r>
              <w:rPr>
                <w:rFonts w:cs="Arial" w:ascii="Arial" w:hAnsi="Arial"/>
              </w:rPr>
            </w:r>
          </w:p>
        </w:tc>
        <w:tc>
          <w:tcPr>
            <w:tcW w:w="2932" w:type="dxa"/>
            <w:tcBorders>
              <w:top w:val="single" w:sz="6" w:space="0" w:color="000000"/>
              <w:bottom w:val="single" w:sz="6" w:space="0" w:color="000000"/>
            </w:tcBorders>
          </w:tcPr>
          <w:p>
            <w:pPr>
              <w:pStyle w:val="Normal"/>
              <w:spacing w:before="120" w:after="0"/>
              <w:rPr>
                <w:rFonts w:ascii="Arial" w:hAnsi="Arial" w:cs="Arial"/>
              </w:rPr>
            </w:pPr>
            <w:r>
              <w:rPr>
                <w:rFonts w:cs="Arial" w:ascii="Arial" w:hAnsi="Arial"/>
              </w:rPr>
              <w:t>Louise Kitchen</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360"/>
          <w:tab w:val="left" w:pos="720" w:leader="none"/>
        </w:tabs>
        <w:rPr>
          <w:rFonts w:ascii="Arial" w:hAnsi="Arial" w:cs="Arial"/>
        </w:rPr>
      </w:pPr>
      <w:r>
        <w:rPr>
          <w:rFonts w:cs="Arial" w:ascii="Arial" w:hAnsi="Arial"/>
        </w:rPr>
      </w:r>
    </w:p>
    <w:p>
      <w:pPr>
        <w:pStyle w:val="Normal"/>
        <w:tabs>
          <w:tab w:val="clear" w:pos="360"/>
          <w:tab w:val="left" w:pos="720" w:leader="none"/>
        </w:tabs>
        <w:rPr>
          <w:rFonts w:ascii="Arial" w:hAnsi="Arial" w:cs="Arial"/>
        </w:rPr>
      </w:pPr>
      <w:r>
        <w:rPr>
          <w:rFonts w:cs="Arial" w:ascii="Arial" w:hAnsi="Arial"/>
        </w:rPr>
      </w:r>
    </w:p>
    <w:p>
      <w:pPr>
        <w:pStyle w:val="Normal"/>
        <w:tabs>
          <w:tab w:val="clear" w:pos="360"/>
          <w:tab w:val="left" w:pos="720" w:leader="none"/>
        </w:tabs>
        <w:rPr>
          <w:rFonts w:ascii="Arial" w:hAnsi="Arial" w:cs="Arial"/>
        </w:rPr>
      </w:pPr>
      <w:r>
        <w:rPr>
          <w:rFonts w:cs="Arial" w:ascii="Arial" w:hAnsi="Arial"/>
        </w:rPr>
        <w:t>Cc:  Chip Schneider, VP Commercial Underwriting, RAC, EB2852</w:t>
      </w:r>
      <w:r>
        <w:br w:type="page"/>
      </w:r>
    </w:p>
    <w:p>
      <w:pPr>
        <w:pStyle w:val="Normal"/>
        <w:rPr>
          <w:b/>
          <w:sz w:val="28"/>
          <w:u w:val="single"/>
        </w:rPr>
      </w:pPr>
      <w:r>
        <w:rPr>
          <w:b/>
          <w:sz w:val="28"/>
          <w:u w:val="single"/>
        </w:rPr>
        <w:t>Americas Finance Summary (addendum to I-DASH)</w:t>
      </w:r>
    </w:p>
    <w:p>
      <w:pPr>
        <w:pStyle w:val="Normal"/>
        <w:jc w:val="end"/>
        <w:rPr>
          <w:b/>
          <w:sz w:val="28"/>
          <w:u w:val="single"/>
        </w:rPr>
      </w:pPr>
      <w:r>
        <w:rPr>
          <w:b/>
          <w:sz w:val="28"/>
          <w:u w:val="single"/>
        </w:rPr>
      </w:r>
    </w:p>
    <w:p>
      <w:pPr>
        <w:pStyle w:val="Normal"/>
        <w:numPr>
          <w:ilvl w:val="0"/>
          <w:numId w:val="2"/>
        </w:numPr>
        <w:tabs>
          <w:tab w:val="clear" w:pos="36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snapToGrid w:val="false"/>
              <w:jc w:val="end"/>
              <w:rPr/>
            </w:pPr>
            <w:r>
              <w:rPr/>
            </w:r>
          </w:p>
        </w:tc>
      </w:tr>
      <w:tr>
        <w:trPr/>
        <w:tc>
          <w:tcPr>
            <w:tcW w:w="7650" w:type="dxa"/>
            <w:tcBorders/>
          </w:tcPr>
          <w:p>
            <w:pPr>
              <w:pStyle w:val="Normal"/>
              <w:rPr/>
            </w:pPr>
            <w:r>
              <w:rPr/>
              <w:t>Total Deal/Project Capital Commitment</w:t>
            </w:r>
          </w:p>
        </w:tc>
        <w:tc>
          <w:tcPr>
            <w:tcW w:w="2250" w:type="dxa"/>
            <w:tcBorders/>
          </w:tcPr>
          <w:p>
            <w:pPr>
              <w:pStyle w:val="Normal"/>
              <w:jc w:val="end"/>
              <w:rPr/>
            </w:pPr>
            <w:r>
              <w:rPr/>
              <w:t>$</w:t>
            </w:r>
          </w:p>
        </w:tc>
      </w:tr>
      <w:tr>
        <w:trPr/>
        <w:tc>
          <w:tcPr>
            <w:tcW w:w="7650" w:type="dxa"/>
            <w:tcBorders/>
          </w:tcPr>
          <w:p>
            <w:pPr>
              <w:pStyle w:val="Normal"/>
              <w:rPr/>
            </w:pPr>
            <w:r>
              <w:rPr/>
              <w:t>Less: Financings</w:t>
            </w:r>
          </w:p>
        </w:tc>
        <w:tc>
          <w:tcPr>
            <w:tcW w:w="2250" w:type="dxa"/>
            <w:tcBorders/>
          </w:tcPr>
          <w:p>
            <w:pPr>
              <w:pStyle w:val="Normal"/>
              <w:jc w:val="end"/>
              <w:rPr/>
            </w:pPr>
            <w:r>
              <w:rPr/>
              <w:t>-0-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7"/>
        </w:numPr>
        <w:rPr/>
      </w:pPr>
      <w:r>
        <w:rPr>
          <w:b/>
        </w:rPr>
        <w:t>Investment terms and pricing:</w:t>
      </w:r>
      <w:r>
        <w:rPr/>
        <w:tab/>
        <w:tab/>
        <w:tab/>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7"/>
        </w:numPr>
        <w:rPr/>
      </w:pPr>
      <w:r>
        <w:rPr>
          <w:b/>
        </w:rPr>
        <w:t>Financing terms and pricing:</w:t>
      </w:r>
      <w:r>
        <w:rPr/>
        <w:tab/>
        <w:tab/>
        <w:tab/>
        <w:tab/>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7"/>
        </w:numPr>
        <w:rPr/>
      </w:pPr>
      <w:r>
        <w:rPr>
          <w:b/>
        </w:rPr>
        <w:t>Legal or practical liquidity restrictions:</w:t>
      </w:r>
      <w:r>
        <w:rPr/>
        <w:tab/>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br/>
      </w:r>
    </w:p>
    <w:p>
      <w:pPr>
        <w:pStyle w:val="Normal"/>
        <w:numPr>
          <w:ilvl w:val="0"/>
          <w:numId w:val="7"/>
        </w:numPr>
        <w:rPr/>
      </w:pPr>
      <w:r>
        <w:rPr>
          <w:b/>
        </w:rPr>
        <w:t>Any recourse to Enron (other than investment):</w:t>
      </w:r>
      <w:r>
        <w:rPr/>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br/>
      </w:r>
    </w:p>
    <w:p>
      <w:pPr>
        <w:pStyle w:val="Normal"/>
        <w:numPr>
          <w:ilvl w:val="0"/>
          <w:numId w:val="5"/>
        </w:numPr>
        <w:rPr/>
      </w:pPr>
      <w:r>
        <w:rPr>
          <w:b/>
        </w:rPr>
        <w:t>Business unit intent to syndicate:</w:t>
      </w:r>
      <w:r>
        <w:rPr/>
        <w:tab/>
        <w:tab/>
        <w:tab/>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br/>
      </w:r>
    </w:p>
    <w:p>
      <w:pPr>
        <w:pStyle w:val="Normal"/>
        <w:numPr>
          <w:ilvl w:val="0"/>
          <w:numId w:val="8"/>
        </w:numPr>
        <w:rPr/>
      </w:pPr>
      <w:r>
        <w:rPr>
          <w:b/>
        </w:rPr>
        <w:t>Intended Enron hold period:</w:t>
      </w:r>
      <w:r>
        <w:rPr/>
        <w:br/>
        <w:br/>
        <w:br/>
        <w:br/>
      </w:r>
    </w:p>
    <w:p>
      <w:pPr>
        <w:pStyle w:val="Normal"/>
        <w:numPr>
          <w:ilvl w:val="0"/>
          <w:numId w:val="3"/>
        </w:numPr>
        <w:rPr>
          <w:b/>
        </w:rPr>
      </w:pPr>
      <w:r>
        <w:rPr>
          <w:b/>
        </w:rPr>
        <w:t>Likely Syndication Market:</w:t>
      </w:r>
      <w:r>
        <w:rPr/>
        <w:tab/>
        <w:tab/>
        <w:tab/>
      </w:r>
      <w:r>
        <w:rPr>
          <w:rFonts w:eastAsia="Monotype Sorts" w:cs="Monotype Sorts" w:ascii="Monotype Sorts" w:hAnsi="Monotype Sorts"/>
        </w:rPr>
        <w:sym w:font="Monotype Sorts" w:char="f06f"/>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firstLine="360" w:start="4680" w:end="0"/>
        <w:rPr/>
      </w:pPr>
      <w:r>
        <w:rPr>
          <w:rFonts w:eastAsia="Monotype Sorts" w:cs="Monotype Sorts" w:ascii="Monotype Sorts" w:hAnsi="Monotype Sorts"/>
        </w:rPr>
        <w:sym w:font="Monotype Sorts" w:char="f06f"/>
      </w:r>
      <w:r>
        <w:rPr>
          <w:b/>
        </w:rPr>
        <w:t xml:space="preserve"> </w:t>
      </w:r>
      <w:r>
        <w:rPr>
          <w:b/>
        </w:rPr>
        <w:t>Capital Markets</w:t>
        <w:tab/>
        <w:tab/>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tab/>
        <w:tab/>
      </w:r>
      <w:r>
        <w:rPr>
          <w:rFonts w:eastAsia="Monotype Sorts" w:cs="Monotype Sorts" w:ascii="Monotype Sorts" w:hAnsi="Monotype Sorts"/>
        </w:rPr>
        <w:sym w:font="Monotype Sorts"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1"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 w:cs="Monotype Sorts" w:ascii="Monotype Sorts" w:hAnsi="Monotype Sorts"/>
        </w:rPr>
        <w:sym w:font="Monotype Sorts" w:char="f06f"/>
      </w:r>
      <w:r>
        <w:rPr>
          <w:b/>
        </w:rPr>
        <w:t xml:space="preserve"> </w:t>
      </w:r>
      <w:r>
        <w:rPr>
          <w:b/>
        </w:rPr>
        <w:t>Other:</w:t>
        <w:tab/>
        <w:tab/>
        <w:tab/>
        <w:tab/>
        <w:tab/>
        <w:tab/>
      </w:r>
      <w:r>
        <w:rPr>
          <w:rFonts w:eastAsia="Monotype Sorts" w:cs="Monotype Sorts" w:ascii="Monotype Sorts" w:hAnsi="Monotype Sorts"/>
        </w:rPr>
        <w:sym w:font="Monotype Sorts" w:char="f06f"/>
      </w:r>
      <w:r>
        <w:rPr>
          <w:b/>
        </w:rPr>
        <w:t xml:space="preserve"> Margaux</w:t>
      </w:r>
    </w:p>
    <w:p>
      <w:pPr>
        <w:pStyle w:val="Normal"/>
        <w:ind w:start="5040" w:end="0"/>
        <w:rPr>
          <w:b/>
        </w:rPr>
      </w:pPr>
      <w:r>
        <w:rPr>
          <w:b/>
        </w:rPr>
      </w:r>
    </w:p>
    <w:p>
      <w:pPr>
        <w:pStyle w:val="Normal"/>
        <w:ind w:start="5040" w:end="0"/>
        <w:rPr/>
      </w:pPr>
      <w:r>
        <w:rPr/>
      </w:r>
    </w:p>
    <w:p>
      <w:pPr>
        <w:pStyle w:val="Normal"/>
        <w:numPr>
          <w:ilvl w:val="0"/>
          <w:numId w:val="6"/>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Normal"/>
        <w:ind w:start="360" w:end="0"/>
        <w:rPr/>
      </w:pPr>
      <w:r>
        <w:rPr/>
      </w:r>
    </w:p>
    <w:tbl>
      <w:tblPr>
        <w:tblW w:w="10368" w:type="dxa"/>
        <w:jc w:val="start"/>
        <w:tblInd w:w="0" w:type="dxa"/>
        <w:tblLayout w:type="fixed"/>
        <w:tblCellMar>
          <w:top w:w="0" w:type="dxa"/>
          <w:start w:w="108" w:type="dxa"/>
          <w:bottom w:w="0" w:type="dxa"/>
          <w:end w:w="108" w:type="dxa"/>
        </w:tblCellMar>
      </w:tblPr>
      <w:tblGrid>
        <w:gridCol w:w="2592"/>
        <w:gridCol w:w="2592"/>
        <w:gridCol w:w="2592"/>
        <w:gridCol w:w="2592"/>
      </w:tblGrid>
      <w:tr>
        <w:trPr/>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i/>
              </w:rPr>
              <w:t>Signature</w:t>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i/>
              </w:rPr>
              <w:t>Name (Printed)</w:t>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i/>
              </w:rPr>
              <w:t>Date</w:t>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Global Finance Representative</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Global Finance Legal</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pPr>
            <w:r>
              <w:rPr/>
              <w:t>Jordan Mintz</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r>
    </w:tbl>
    <w:p>
      <w:pPr>
        <w:pStyle w:val="Normal"/>
        <w:tabs>
          <w:tab w:val="clear" w:pos="360"/>
          <w:tab w:val="left" w:pos="720" w:leader="none"/>
        </w:tabs>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/mnt/main-storage/datasets/enron-docs/doc/Deerfield_IDASH.doc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740" w:leader="none"/>
      </w:tabs>
      <w:rPr>
        <w:b/>
      </w:rPr>
    </w:pPr>
    <w:r>
      <w:rPr>
        <w:b/>
      </w:rPr>
      <w:t xml:space="preserve">Internal Deal Approval Sheet – Enron Americas                                          Deal Name: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5">
    <w:lvl w:ilvl="0">
      <w:start w:val="6"/>
      <w:numFmt w:val="decimal"/>
      <w:lvlText w:val="%1a."/>
      <w:lvlJc w:val="start"/>
      <w:pPr>
        <w:tabs>
          <w:tab w:val="num" w:pos="360"/>
        </w:tabs>
        <w:ind w:start="360" w:hanging="360"/>
      </w:pPr>
    </w:lvl>
  </w:abstractNum>
  <w:abstractNum w:abstractNumId="6">
    <w:lvl w:ilvl="0">
      <w:start w:val="6"/>
      <w:numFmt w:val="decimal"/>
      <w:lvlText w:val="%1d."/>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0" w:end="-36"/>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8" w:space="0" w:color="000000"/>
      </w:pBdr>
      <w:ind w:hanging="0" w:start="0" w:end="-36"/>
      <w:outlineLvl w:val="7"/>
    </w:pPr>
    <w:rPr>
      <w:b/>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2z0">
    <w:name w:val="WW8Num2z0"/>
    <w:qFormat/>
    <w:rPr/>
  </w:style>
  <w:style w:type="character" w:styleId="WW8Num4z0">
    <w:name w:val="WW8Num4z0"/>
    <w:qFormat/>
    <w:rPr>
      <w:rFonts w:ascii="Symbol" w:hAnsi="Symbol" w:cs="Symbol"/>
    </w:rPr>
  </w:style>
  <w:style w:type="character" w:styleId="WW8Num6z0">
    <w:name w:val="WW8Num6z0"/>
    <w:qFormat/>
    <w:rPr>
      <w:b w:val="false"/>
      <w:i w:val="false"/>
    </w:rPr>
  </w:style>
  <w:style w:type="character" w:styleId="WW8Num8z0">
    <w:name w:val="WW8Num8z0"/>
    <w:qFormat/>
    <w:rPr/>
  </w:style>
  <w:style w:type="character" w:styleId="WW8Num9z0">
    <w:name w:val="WW8Num9z0"/>
    <w:qFormat/>
    <w:rPr>
      <w:b w:val="false"/>
      <w:i w:val="false"/>
    </w:rPr>
  </w:style>
  <w:style w:type="character" w:styleId="WW8Num10z0">
    <w:name w:val="WW8Num10z0"/>
    <w:qFormat/>
    <w:rPr/>
  </w:style>
  <w:style w:type="character" w:styleId="WW8Num13z0">
    <w:name w:val="WW8Num13z0"/>
    <w:qFormat/>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8z0">
    <w:name w:val="WW8Num28z0"/>
    <w:qFormat/>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5z0">
    <w:name w:val="WW8Num35z0"/>
    <w:qFormat/>
    <w:rPr/>
  </w:style>
  <w:style w:type="character" w:styleId="WW8Num37z0">
    <w:name w:val="WW8Num3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2001-06-12T02:40:00Z</dcterms:created>
  <dc:creator>mruane</dc:creator>
  <dc:description>MR: 9-20-99 added tax signoff</dc:description>
  <dc:language>en-CA</dc:language>
  <cp:lastModifiedBy>Valued Sony Customer</cp:lastModifiedBy>
  <cp:lastPrinted>2001-09-21T14:45:00Z</cp:lastPrinted>
  <dcterms:modified xsi:type="dcterms:W3CDTF">2001-09-21T19:32:00Z</dcterms:modified>
  <cp:revision>9</cp:revision>
  <dc:subject/>
  <dc:title>ENRON RISK ASSESSMENT AND CONTROL</dc:title>
</cp:coreProperties>
</file>