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r>
    </w:p>
    <w:p>
      <w:pPr>
        <w:pStyle w:val="Normal"/>
        <w:jc w:val="end"/>
        <w:rPr>
          <w:b/>
        </w:rPr>
      </w:pPr>
      <w:r>
        <w:rPr>
          <w:b/>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jc w:val="center"/>
        <w:rPr>
          <w:sz w:val="18"/>
        </w:rPr>
      </w:pPr>
      <w:r>
        <w:rPr>
          <w:sz w:val="18"/>
        </w:rPr>
      </w:r>
    </w:p>
    <w:p>
      <w:pPr>
        <w:pStyle w:val="Normal"/>
        <w:jc w:val="center"/>
        <w:rPr>
          <w:sz w:val="18"/>
        </w:rPr>
      </w:pPr>
      <w:r>
        <w:rPr>
          <w:sz w:val="18"/>
        </w:rPr>
      </w:r>
    </w:p>
    <w:p>
      <w:pPr>
        <w:pStyle w:val="Normal"/>
        <w:rPr>
          <w:sz w:val="18"/>
        </w:rPr>
      </w:pPr>
      <w:r>
        <w:rPr>
          <w:sz w:val="18"/>
        </w:rPr>
        <w:t>[DATE]</w:t>
      </w:r>
    </w:p>
    <w:p>
      <w:pPr>
        <w:pStyle w:val="Normal"/>
        <w:rPr>
          <w:sz w:val="18"/>
        </w:rPr>
      </w:pPr>
      <w:r>
        <w:rPr>
          <w:sz w:val="18"/>
        </w:rPr>
      </w:r>
    </w:p>
    <w:p>
      <w:pPr>
        <w:pStyle w:val="Normal"/>
        <w:rPr>
          <w:sz w:val="18"/>
        </w:rPr>
      </w:pPr>
      <w:r>
        <w:rPr>
          <w:sz w:val="18"/>
        </w:rPr>
        <w:t>[COUNTERPARTY NAME]</w:t>
      </w:r>
    </w:p>
    <w:p>
      <w:pPr>
        <w:pStyle w:val="Normal"/>
        <w:rPr>
          <w:sz w:val="18"/>
        </w:rPr>
      </w:pPr>
      <w:r>
        <w:rPr>
          <w:sz w:val="18"/>
        </w:rPr>
        <w:t>[COUNTERPARTY ADDRESS]</w:t>
      </w:r>
    </w:p>
    <w:p>
      <w:pPr>
        <w:pStyle w:val="Normal"/>
        <w:jc w:val="both"/>
        <w:rPr>
          <w:sz w:val="18"/>
        </w:rPr>
      </w:pPr>
      <w:r>
        <w:rPr>
          <w:sz w:val="18"/>
        </w:rPr>
      </w:r>
    </w:p>
    <w:p>
      <w:pPr>
        <w:pStyle w:val="Normal"/>
        <w:jc w:val="both"/>
        <w:rPr>
          <w:sz w:val="18"/>
        </w:rPr>
      </w:pPr>
      <w:r>
        <w:rPr>
          <w:sz w:val="18"/>
        </w:rPr>
        <w:t>Attention: _________________</w:t>
      </w:r>
    </w:p>
    <w:p>
      <w:pPr>
        <w:pStyle w:val="Normal"/>
        <w:jc w:val="both"/>
        <w:rPr>
          <w:sz w:val="18"/>
        </w:rPr>
      </w:pPr>
      <w:r>
        <w:rPr>
          <w:sz w:val="18"/>
        </w:rPr>
      </w:r>
    </w:p>
    <w:p>
      <w:pPr>
        <w:pStyle w:val="Normal"/>
        <w:rPr>
          <w:sz w:val="18"/>
        </w:rPr>
      </w:pPr>
      <w:r>
        <w:rPr>
          <w:sz w:val="18"/>
        </w:rPr>
        <w:t>Fax No.:  ______________________</w:t>
      </w:r>
    </w:p>
    <w:p>
      <w:pPr>
        <w:pStyle w:val="Normal"/>
        <w:rPr>
          <w:sz w:val="18"/>
        </w:rPr>
      </w:pPr>
      <w:r>
        <w:rPr>
          <w:sz w:val="18"/>
        </w:rPr>
        <w:t>Telephone No.:  _________________</w:t>
      </w:r>
    </w:p>
    <w:p>
      <w:pPr>
        <w:pStyle w:val="Normal"/>
        <w:rPr>
          <w:sz w:val="18"/>
        </w:rPr>
      </w:pPr>
      <w:r>
        <w:rPr>
          <w:sz w:val="18"/>
        </w:rPr>
      </w:r>
    </w:p>
    <w:p>
      <w:pPr>
        <w:pStyle w:val="Normal"/>
        <w:rPr>
          <w:color w:val="000000"/>
          <w:sz w:val="18"/>
        </w:rPr>
      </w:pPr>
      <w:r>
        <w:rPr>
          <w:color w:val="000000"/>
          <w:sz w:val="18"/>
        </w:rPr>
      </w:r>
    </w:p>
    <w:p>
      <w:pPr>
        <w:pStyle w:val="Normal"/>
        <w:rPr/>
      </w:pPr>
      <w:r>
        <w:rPr>
          <w:color w:val="000000"/>
          <w:sz w:val="18"/>
        </w:rPr>
        <w:t>Re:</w:t>
        <w:tab/>
      </w:r>
      <w:r>
        <w:rPr>
          <w:sz w:val="18"/>
        </w:rPr>
        <w:t>WEATHER TRANSACTION -- ENA Contract No. WRO ___________________</w:t>
      </w:r>
    </w:p>
    <w:p>
      <w:pPr>
        <w:pStyle w:val="Normal"/>
        <w:rPr>
          <w:sz w:val="18"/>
        </w:rPr>
      </w:pPr>
      <w:r>
        <w:rPr>
          <w:sz w:val="18"/>
        </w:rPr>
      </w:r>
    </w:p>
    <w:p>
      <w:pPr>
        <w:pStyle w:val="Normal"/>
        <w:rPr>
          <w:sz w:val="18"/>
        </w:rPr>
      </w:pPr>
      <w:r>
        <w:rPr>
          <w:sz w:val="18"/>
        </w:rPr>
        <w:t>Dear Sirs:</w:t>
      </w:r>
    </w:p>
    <w:p>
      <w:pPr>
        <w:pStyle w:val="Normal"/>
        <w:rPr>
          <w:sz w:val="18"/>
        </w:rPr>
      </w:pPr>
      <w:r>
        <w:rPr>
          <w:sz w:val="18"/>
        </w:rPr>
      </w:r>
    </w:p>
    <w:p>
      <w:pPr>
        <w:pStyle w:val="Normal"/>
        <w:jc w:val="both"/>
        <w:rPr>
          <w:sz w:val="18"/>
        </w:rPr>
      </w:pPr>
      <w:r>
        <w:rPr>
          <w:sz w:val="18"/>
        </w:rPr>
        <w:t>The purpose of this document is to confirm the terms and conditions of the transaction entered into between [COUNTERPARTY NAME] (“Counterparty”) and Enron North America Corp. (“ENA”) on [TRADE DATE}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1999 between ___________ of ENA and ____________ of Counterparty.</w:t>
      </w:r>
    </w:p>
    <w:p>
      <w:pPr>
        <w:pStyle w:val="Normal"/>
        <w:jc w:val="both"/>
        <w:rPr>
          <w:sz w:val="18"/>
        </w:rPr>
      </w:pPr>
      <w:r>
        <w:rPr>
          <w:sz w:val="18"/>
        </w:rPr>
      </w:r>
    </w:p>
    <w:p>
      <w:pPr>
        <w:pStyle w:val="Normal"/>
        <w:jc w:val="both"/>
        <w:rPr>
          <w:sz w:val="18"/>
        </w:rPr>
      </w:pPr>
      <w:r>
        <w:rPr>
          <w:sz w:val="18"/>
        </w:rPr>
        <w:t>1.</w:t>
        <w:tab/>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b/>
          <w:sz w:val="18"/>
          <w:u w:val="single"/>
        </w:rPr>
      </w:pPr>
      <w:r>
        <w:rPr>
          <w:b/>
          <w:sz w:val="18"/>
          <w:u w:val="single"/>
        </w:rPr>
      </w:r>
    </w:p>
    <w:p>
      <w:pPr>
        <w:pStyle w:val="Normal"/>
        <w:ind w:hanging="720" w:start="720" w:end="0"/>
        <w:jc w:val="both"/>
        <w:rPr/>
      </w:pPr>
      <w:r>
        <w:rPr>
          <w:sz w:val="18"/>
        </w:rPr>
        <w:t>2.</w:t>
        <w:tab/>
      </w:r>
      <w:r>
        <w:rPr>
          <w:b/>
          <w:sz w:val="18"/>
          <w:u w:val="single"/>
        </w:rPr>
        <w:t>Terms of Transaction</w:t>
      </w:r>
      <w:r>
        <w:rPr>
          <w:b/>
          <w:sz w:val="18"/>
        </w:rPr>
        <w:t xml:space="preserve">.  </w:t>
      </w:r>
      <w:r>
        <w:rPr>
          <w:sz w:val="18"/>
        </w:rPr>
        <w:t>The terms of the particular Transaction to which this Confirmation relates are as follows:</w:t>
      </w:r>
    </w:p>
    <w:p>
      <w:pPr>
        <w:pStyle w:val="Normal"/>
        <w:jc w:val="both"/>
        <w:rPr>
          <w:sz w:val="18"/>
        </w:rPr>
      </w:pPr>
      <w:r>
        <w:rPr>
          <w:sz w:val="18"/>
        </w:rPr>
      </w:r>
    </w:p>
    <w:tbl>
      <w:tblPr>
        <w:tblW w:w="8946" w:type="dxa"/>
        <w:jc w:val="start"/>
        <w:tblInd w:w="0" w:type="dxa"/>
        <w:tblLayout w:type="fixed"/>
        <w:tblCellMar>
          <w:top w:w="0" w:type="dxa"/>
          <w:start w:w="108" w:type="dxa"/>
          <w:bottom w:w="0" w:type="dxa"/>
          <w:end w:w="108" w:type="dxa"/>
        </w:tblCellMar>
      </w:tblPr>
      <w:tblGrid>
        <w:gridCol w:w="3168"/>
        <w:gridCol w:w="5760"/>
        <w:gridCol w:w="18"/>
      </w:tblGrid>
      <w:tr>
        <w:trPr/>
        <w:tc>
          <w:tcPr>
            <w:tcW w:w="3168" w:type="dxa"/>
            <w:tcBorders/>
          </w:tcPr>
          <w:p>
            <w:pPr>
              <w:pStyle w:val="Normal"/>
              <w:jc w:val="both"/>
              <w:rPr>
                <w:color w:val="000000"/>
              </w:rPr>
            </w:pPr>
            <w:r>
              <w:rPr>
                <w:color w:val="000000"/>
              </w:rPr>
              <w:t>Transaction Type:</w:t>
            </w:r>
          </w:p>
        </w:tc>
        <w:tc>
          <w:tcPr>
            <w:tcW w:w="5760" w:type="dxa"/>
            <w:tcBorders/>
          </w:tcPr>
          <w:p>
            <w:pPr>
              <w:pStyle w:val="Normal"/>
              <w:jc w:val="both"/>
              <w:rPr/>
            </w:pPr>
            <w:r>
              <w:rPr>
                <w:color w:val="000000"/>
              </w:rPr>
              <w:t xml:space="preserve">Heating Degree Day (“HDD”) </w:t>
            </w:r>
            <w:r>
              <w:rPr/>
              <w:t>Collar</w:t>
            </w:r>
          </w:p>
        </w:tc>
      </w:tr>
      <w:tr>
        <w:trPr/>
        <w:tc>
          <w:tcPr>
            <w:tcW w:w="3168" w:type="dxa"/>
            <w:tcBorders/>
          </w:tcPr>
          <w:p>
            <w:pPr>
              <w:pStyle w:val="Normal"/>
              <w:snapToGrid w:val="false"/>
              <w:jc w:val="both"/>
              <w:rPr/>
            </w:pPr>
            <w:r>
              <w:rPr/>
            </w:r>
          </w:p>
        </w:tc>
        <w:tc>
          <w:tcPr>
            <w:tcW w:w="5760" w:type="dxa"/>
            <w:tcBorders/>
          </w:tcPr>
          <w:p>
            <w:pPr>
              <w:pStyle w:val="Normal"/>
              <w:snapToGrid w:val="false"/>
              <w:jc w:val="both"/>
              <w:rPr/>
            </w:pPr>
            <w:r>
              <w:rPr/>
            </w:r>
          </w:p>
        </w:tc>
      </w:tr>
      <w:tr>
        <w:trPr/>
        <w:tc>
          <w:tcPr>
            <w:tcW w:w="3168" w:type="dxa"/>
            <w:tcBorders/>
          </w:tcPr>
          <w:p>
            <w:pPr>
              <w:pStyle w:val="Normal"/>
              <w:jc w:val="both"/>
              <w:rPr/>
            </w:pPr>
            <w:r>
              <w:rPr/>
              <w:t>Cap Notional Amount:</w:t>
            </w:r>
          </w:p>
          <w:p>
            <w:pPr>
              <w:pStyle w:val="Normal"/>
              <w:jc w:val="both"/>
              <w:rPr/>
            </w:pPr>
            <w:r>
              <w:rPr/>
            </w:r>
          </w:p>
          <w:p>
            <w:pPr>
              <w:pStyle w:val="Normal"/>
              <w:jc w:val="both"/>
              <w:rPr/>
            </w:pPr>
            <w:r>
              <w:rPr/>
              <w:t>Floor Notional Amount:</w:t>
            </w:r>
          </w:p>
        </w:tc>
        <w:tc>
          <w:tcPr>
            <w:tcW w:w="5760" w:type="dxa"/>
            <w:tcBorders/>
          </w:tcPr>
          <w:p>
            <w:pPr>
              <w:pStyle w:val="Normal"/>
              <w:jc w:val="both"/>
              <w:rPr/>
            </w:pPr>
            <w:r>
              <w:rPr>
                <w:color w:val="FF0000"/>
              </w:rPr>
              <w:t xml:space="preserve">[             ] </w:t>
            </w:r>
            <w:r>
              <w:rPr>
                <w:color w:val="000000"/>
              </w:rPr>
              <w:t>per HDD</w:t>
            </w:r>
          </w:p>
          <w:p>
            <w:pPr>
              <w:pStyle w:val="Normal"/>
              <w:jc w:val="both"/>
              <w:rPr/>
            </w:pPr>
            <w:r>
              <w:rPr/>
            </w:r>
          </w:p>
          <w:p>
            <w:pPr>
              <w:pStyle w:val="Normal"/>
              <w:jc w:val="both"/>
              <w:rPr/>
            </w:pPr>
            <w:r>
              <w:rPr>
                <w:color w:val="FF0000"/>
              </w:rPr>
              <w:t xml:space="preserve">[             ] </w:t>
            </w:r>
            <w:r>
              <w:rPr>
                <w:color w:val="000000"/>
              </w:rPr>
              <w:t>per HDD</w:t>
            </w:r>
          </w:p>
        </w:tc>
      </w:tr>
      <w:tr>
        <w:trPr/>
        <w:tc>
          <w:tcPr>
            <w:tcW w:w="3168" w:type="dxa"/>
            <w:tcBorders/>
          </w:tcPr>
          <w:p>
            <w:pPr>
              <w:pStyle w:val="Normal"/>
              <w:snapToGrid w:val="false"/>
              <w:jc w:val="both"/>
              <w:rPr/>
            </w:pPr>
            <w:r>
              <w:rPr/>
            </w:r>
          </w:p>
        </w:tc>
        <w:tc>
          <w:tcPr>
            <w:tcW w:w="5760" w:type="dxa"/>
            <w:tcBorders/>
          </w:tcPr>
          <w:p>
            <w:pPr>
              <w:pStyle w:val="Normal"/>
              <w:snapToGrid w:val="false"/>
              <w:jc w:val="both"/>
              <w:rPr/>
            </w:pPr>
            <w:r>
              <w:rPr/>
            </w:r>
          </w:p>
        </w:tc>
      </w:tr>
      <w:tr>
        <w:trPr/>
        <w:tc>
          <w:tcPr>
            <w:tcW w:w="3168" w:type="dxa"/>
            <w:tcBorders/>
          </w:tcPr>
          <w:p>
            <w:pPr>
              <w:pStyle w:val="Normal"/>
              <w:jc w:val="both"/>
              <w:rPr>
                <w:color w:val="000000"/>
              </w:rPr>
            </w:pPr>
            <w:r>
              <w:rPr>
                <w:color w:val="000000"/>
              </w:rPr>
              <w:t>Trade Date:</w:t>
            </w:r>
          </w:p>
        </w:tc>
        <w:tc>
          <w:tcPr>
            <w:tcW w:w="5760" w:type="dxa"/>
            <w:tcBorders/>
          </w:tcPr>
          <w:p>
            <w:pPr>
              <w:pStyle w:val="Normal"/>
              <w:jc w:val="both"/>
              <w:rPr>
                <w:color w:val="000000"/>
              </w:rPr>
            </w:pPr>
            <w:r>
              <w:rPr>
                <w:color w:val="FF0000"/>
              </w:rPr>
              <w:t>[             ]</w:t>
            </w:r>
          </w:p>
        </w:tc>
      </w:tr>
      <w:tr>
        <w:trPr/>
        <w:tc>
          <w:tcPr>
            <w:tcW w:w="3168" w:type="dxa"/>
            <w:tcBorders/>
          </w:tcPr>
          <w:p>
            <w:pPr>
              <w:pStyle w:val="Normal"/>
              <w:snapToGrid w:val="false"/>
              <w:jc w:val="both"/>
              <w:rPr>
                <w:color w:val="000000"/>
              </w:rPr>
            </w:pPr>
            <w:r>
              <w:rPr>
                <w:color w:val="000000"/>
              </w:rPr>
            </w:r>
          </w:p>
        </w:tc>
        <w:tc>
          <w:tcPr>
            <w:tcW w:w="5760"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Effective Date:</w:t>
            </w:r>
          </w:p>
        </w:tc>
        <w:tc>
          <w:tcPr>
            <w:tcW w:w="5760" w:type="dxa"/>
            <w:tcBorders/>
          </w:tcPr>
          <w:p>
            <w:pPr>
              <w:pStyle w:val="Normal"/>
              <w:jc w:val="both"/>
              <w:rPr>
                <w:color w:val="000000"/>
              </w:rPr>
            </w:pPr>
            <w:r>
              <w:rPr>
                <w:color w:val="FF0000"/>
              </w:rPr>
              <w:t>[             ]</w:t>
            </w:r>
          </w:p>
        </w:tc>
      </w:tr>
      <w:tr>
        <w:trPr/>
        <w:tc>
          <w:tcPr>
            <w:tcW w:w="3168" w:type="dxa"/>
            <w:tcBorders/>
          </w:tcPr>
          <w:p>
            <w:pPr>
              <w:pStyle w:val="Normal"/>
              <w:snapToGrid w:val="false"/>
              <w:jc w:val="both"/>
              <w:rPr>
                <w:color w:val="000000"/>
              </w:rPr>
            </w:pPr>
            <w:r>
              <w:rPr>
                <w:color w:val="000000"/>
              </w:rPr>
            </w:r>
          </w:p>
        </w:tc>
        <w:tc>
          <w:tcPr>
            <w:tcW w:w="5760"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Termination Date:</w:t>
            </w:r>
          </w:p>
        </w:tc>
        <w:tc>
          <w:tcPr>
            <w:tcW w:w="5760" w:type="dxa"/>
            <w:tcBorders/>
          </w:tcPr>
          <w:p>
            <w:pPr>
              <w:pStyle w:val="Normal"/>
              <w:jc w:val="both"/>
              <w:rPr>
                <w:color w:val="000000"/>
              </w:rPr>
            </w:pPr>
            <w:r>
              <w:rPr>
                <w:color w:val="FF0000"/>
              </w:rPr>
              <w:t>[             ]</w:t>
            </w:r>
          </w:p>
        </w:tc>
      </w:tr>
      <w:tr>
        <w:trPr/>
        <w:tc>
          <w:tcPr>
            <w:tcW w:w="3168" w:type="dxa"/>
            <w:tcBorders/>
          </w:tcPr>
          <w:p>
            <w:pPr>
              <w:pStyle w:val="Normal"/>
              <w:snapToGrid w:val="false"/>
              <w:jc w:val="both"/>
              <w:rPr>
                <w:color w:val="000000"/>
              </w:rPr>
            </w:pPr>
            <w:r>
              <w:rPr>
                <w:color w:val="000000"/>
              </w:rPr>
            </w:r>
          </w:p>
        </w:tc>
        <w:tc>
          <w:tcPr>
            <w:tcW w:w="5760" w:type="dxa"/>
            <w:tcBorders/>
          </w:tcPr>
          <w:p>
            <w:pPr>
              <w:pStyle w:val="Normal"/>
              <w:snapToGrid w:val="false"/>
              <w:jc w:val="both"/>
              <w:rPr/>
            </w:pPr>
            <w:r>
              <w:rPr/>
            </w:r>
          </w:p>
        </w:tc>
      </w:tr>
      <w:tr>
        <w:trPr/>
        <w:tc>
          <w:tcPr>
            <w:tcW w:w="3168" w:type="dxa"/>
            <w:tcBorders/>
          </w:tcPr>
          <w:p>
            <w:pPr>
              <w:pStyle w:val="Normal"/>
              <w:jc w:val="both"/>
              <w:rPr/>
            </w:pPr>
            <w:r>
              <w:rPr/>
              <w:t>Calculation Period:</w:t>
            </w:r>
          </w:p>
        </w:tc>
        <w:tc>
          <w:tcPr>
            <w:tcW w:w="5760"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5760" w:type="dxa"/>
            <w:tcBorders/>
          </w:tcPr>
          <w:p>
            <w:pPr>
              <w:pStyle w:val="Normal"/>
              <w:snapToGrid w:val="false"/>
              <w:jc w:val="both"/>
              <w:rPr/>
            </w:pPr>
            <w:r>
              <w:rPr/>
            </w:r>
          </w:p>
        </w:tc>
      </w:tr>
      <w:tr>
        <w:trPr/>
        <w:tc>
          <w:tcPr>
            <w:tcW w:w="3168" w:type="dxa"/>
            <w:tcBorders/>
          </w:tcPr>
          <w:p>
            <w:pPr>
              <w:pStyle w:val="Normal"/>
              <w:jc w:val="both"/>
              <w:rPr>
                <w:color w:val="000000"/>
              </w:rPr>
            </w:pPr>
            <w:r>
              <w:rPr>
                <w:color w:val="000000"/>
              </w:rPr>
              <w:t>Payment Date(s):</w:t>
            </w:r>
          </w:p>
        </w:tc>
        <w:tc>
          <w:tcPr>
            <w:tcW w:w="5760" w:type="dxa"/>
            <w:tcBorders/>
          </w:tcPr>
          <w:p>
            <w:pPr>
              <w:pStyle w:val="Normal"/>
              <w:jc w:val="both"/>
              <w:rPr/>
            </w:pPr>
            <w:r>
              <w:rPr>
                <w:color w:val="000000"/>
              </w:rPr>
              <w:t>The fifth Business Day after the Cap and Floor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National Climatic Data Center (“NCDC”) 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t>“</w:t>
            </w:r>
            <w:r>
              <w:rPr>
                <w:color w:val="000000"/>
              </w:rPr>
              <w:t>NCDC” means the National Climatic Data Center, a unit of the National Oceanic and Atmospheric Administration Center, or its successor organization, which reports temperature information by the NWS.</w:t>
            </w:r>
          </w:p>
          <w:p>
            <w:pPr>
              <w:pStyle w:val="Normal"/>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p>
            <w:pPr>
              <w:pStyle w:val="Normal"/>
              <w:jc w:val="both"/>
              <w:rPr/>
            </w:pPr>
            <w:r>
              <w:rPr/>
              <w:t>Cap Floating Amount Payer:</w:t>
            </w:r>
          </w:p>
        </w:tc>
        <w:tc>
          <w:tcPr>
            <w:tcW w:w="5760" w:type="dxa"/>
            <w:tcBorders/>
          </w:tcPr>
          <w:p>
            <w:pPr>
              <w:pStyle w:val="Normal"/>
              <w:snapToGrid w:val="false"/>
              <w:jc w:val="both"/>
              <w:rPr/>
            </w:pPr>
            <w:r>
              <w:rPr/>
            </w:r>
          </w:p>
          <w:p>
            <w:pPr>
              <w:pStyle w:val="Normal"/>
              <w:jc w:val="both"/>
              <w:rPr>
                <w:color w:val="FF0000"/>
              </w:rPr>
            </w:pPr>
            <w:r>
              <w:rPr>
                <w:color w:val="FF0000"/>
              </w:rPr>
              <w:t>[ENA/Counterparty]</w:t>
            </w:r>
          </w:p>
        </w:tc>
      </w:tr>
      <w:tr>
        <w:trPr/>
        <w:tc>
          <w:tcPr>
            <w:tcW w:w="3168" w:type="dxa"/>
            <w:tcBorders/>
          </w:tcPr>
          <w:p>
            <w:pPr>
              <w:pStyle w:val="Normal"/>
              <w:snapToGrid w:val="false"/>
              <w:jc w:val="both"/>
              <w:rPr/>
            </w:pPr>
            <w:r>
              <w:rPr/>
            </w:r>
          </w:p>
        </w:tc>
        <w:tc>
          <w:tcPr>
            <w:tcW w:w="5760" w:type="dxa"/>
            <w:tcBorders/>
          </w:tcPr>
          <w:p>
            <w:pPr>
              <w:pStyle w:val="Normal"/>
              <w:snapToGrid w:val="false"/>
              <w:jc w:val="both"/>
              <w:rPr/>
            </w:pPr>
            <w:r>
              <w:rPr/>
            </w:r>
          </w:p>
        </w:tc>
      </w:tr>
      <w:tr>
        <w:trPr/>
        <w:tc>
          <w:tcPr>
            <w:tcW w:w="3168" w:type="dxa"/>
            <w:tcBorders/>
          </w:tcPr>
          <w:p>
            <w:pPr>
              <w:pStyle w:val="Normal"/>
              <w:jc w:val="both"/>
              <w:rPr/>
            </w:pPr>
            <w:r>
              <w:rPr/>
              <w:t>Cap Strike Amount:</w:t>
            </w:r>
          </w:p>
        </w:tc>
        <w:tc>
          <w:tcPr>
            <w:tcW w:w="5760" w:type="dxa"/>
            <w:tcBorders/>
          </w:tcPr>
          <w:p>
            <w:pPr>
              <w:pStyle w:val="Normal"/>
              <w:jc w:val="both"/>
              <w:rPr/>
            </w:pPr>
            <w:r>
              <w:rPr>
                <w:color w:val="FF0000"/>
              </w:rPr>
              <w:t>[             ]</w:t>
            </w:r>
            <w:r>
              <w:rPr>
                <w:color w:val="000000"/>
              </w:rPr>
              <w:t xml:space="preserve"> HDD </w:t>
            </w:r>
          </w:p>
        </w:tc>
      </w:tr>
      <w:tr>
        <w:trPr/>
        <w:tc>
          <w:tcPr>
            <w:tcW w:w="3168" w:type="dxa"/>
            <w:tcBorders/>
          </w:tcPr>
          <w:p>
            <w:pPr>
              <w:pStyle w:val="Normal"/>
              <w:snapToGrid w:val="false"/>
              <w:jc w:val="both"/>
              <w:rPr>
                <w:color w:val="000000"/>
              </w:rPr>
            </w:pPr>
            <w:r>
              <w:rPr>
                <w:color w:val="000000"/>
              </w:rPr>
            </w:r>
          </w:p>
        </w:tc>
        <w:tc>
          <w:tcPr>
            <w:tcW w:w="5760" w:type="dxa"/>
            <w:tcBorders/>
          </w:tcPr>
          <w:p>
            <w:pPr>
              <w:pStyle w:val="Normal"/>
              <w:snapToGrid w:val="false"/>
              <w:jc w:val="both"/>
              <w:rPr/>
            </w:pPr>
            <w:r>
              <w:rPr/>
            </w:r>
          </w:p>
        </w:tc>
      </w:tr>
      <w:tr>
        <w:trPr/>
        <w:tc>
          <w:tcPr>
            <w:tcW w:w="3168" w:type="dxa"/>
            <w:tcBorders/>
          </w:tcPr>
          <w:p>
            <w:pPr>
              <w:pStyle w:val="Normal"/>
              <w:jc w:val="both"/>
              <w:rPr/>
            </w:pPr>
            <w:r>
              <w:rPr/>
              <w:t>Floor Floating Amount Payer:</w:t>
            </w:r>
          </w:p>
        </w:tc>
        <w:tc>
          <w:tcPr>
            <w:tcW w:w="5760" w:type="dxa"/>
            <w:tcBorders/>
          </w:tcPr>
          <w:p>
            <w:pPr>
              <w:pStyle w:val="Normal"/>
              <w:jc w:val="both"/>
              <w:rPr>
                <w:color w:val="FF0000"/>
              </w:rPr>
            </w:pPr>
            <w:r>
              <w:rPr>
                <w:color w:val="FF0000"/>
              </w:rPr>
              <w:t>[ENA/Counterparty]</w:t>
            </w:r>
          </w:p>
        </w:tc>
      </w:tr>
      <w:tr>
        <w:trPr/>
        <w:tc>
          <w:tcPr>
            <w:tcW w:w="3168" w:type="dxa"/>
            <w:tcBorders/>
          </w:tcPr>
          <w:p>
            <w:pPr>
              <w:pStyle w:val="Normal"/>
              <w:snapToGrid w:val="false"/>
              <w:jc w:val="both"/>
              <w:rPr/>
            </w:pPr>
            <w:r>
              <w:rPr/>
            </w:r>
          </w:p>
        </w:tc>
        <w:tc>
          <w:tcPr>
            <w:tcW w:w="5760" w:type="dxa"/>
            <w:tcBorders/>
          </w:tcPr>
          <w:p>
            <w:pPr>
              <w:pStyle w:val="Normal"/>
              <w:snapToGrid w:val="false"/>
              <w:jc w:val="both"/>
              <w:rPr/>
            </w:pPr>
            <w:r>
              <w:rPr/>
            </w:r>
          </w:p>
        </w:tc>
      </w:tr>
      <w:tr>
        <w:trPr/>
        <w:tc>
          <w:tcPr>
            <w:tcW w:w="3168" w:type="dxa"/>
            <w:tcBorders/>
          </w:tcPr>
          <w:p>
            <w:pPr>
              <w:pStyle w:val="Normal"/>
              <w:jc w:val="both"/>
              <w:rPr/>
            </w:pPr>
            <w:r>
              <w:rPr/>
              <w:t>Floor Strike Amount:</w:t>
            </w:r>
          </w:p>
          <w:p>
            <w:pPr>
              <w:pStyle w:val="Normal"/>
              <w:jc w:val="both"/>
              <w:rPr/>
            </w:pPr>
            <w:r>
              <w:rPr/>
            </w:r>
          </w:p>
        </w:tc>
        <w:tc>
          <w:tcPr>
            <w:tcW w:w="5760" w:type="dxa"/>
            <w:tcBorders/>
          </w:tcPr>
          <w:p>
            <w:pPr>
              <w:pStyle w:val="Normal"/>
              <w:jc w:val="both"/>
              <w:rPr/>
            </w:pPr>
            <w:r>
              <w:rPr>
                <w:color w:val="FF0000"/>
              </w:rPr>
              <w:t>[             ]</w:t>
            </w:r>
            <w:r>
              <w:rPr>
                <w:color w:val="000000"/>
              </w:rPr>
              <w:t xml:space="preserve"> HDD </w:t>
            </w:r>
          </w:p>
        </w:tc>
      </w:tr>
      <w:tr>
        <w:trPr/>
        <w:tc>
          <w:tcPr>
            <w:tcW w:w="3168" w:type="dxa"/>
            <w:tcBorders/>
          </w:tcPr>
          <w:p>
            <w:pPr>
              <w:pStyle w:val="Normal"/>
              <w:jc w:val="both"/>
              <w:rPr/>
            </w:pPr>
            <w:r>
              <w:rPr/>
              <w:t>Cap and Floor Floating Amount:</w:t>
            </w:r>
          </w:p>
        </w:tc>
        <w:tc>
          <w:tcPr>
            <w:tcW w:w="5760" w:type="dxa"/>
            <w:tcBorders/>
          </w:tcPr>
          <w:p>
            <w:pPr>
              <w:pStyle w:val="Normal"/>
              <w:jc w:val="both"/>
              <w:rPr>
                <w:color w:val="000000"/>
              </w:rPr>
            </w:pPr>
            <w:r>
              <w:rPr>
                <w:color w:val="000000"/>
              </w:rPr>
              <w:t>The sum of HDD’s calculated in accordance with the procedure detailed below, for each day during the applicable Calculation Period.</w:t>
            </w:r>
          </w:p>
          <w:p>
            <w:pPr>
              <w:pStyle w:val="Normal"/>
              <w:jc w:val="both"/>
              <w:rPr/>
            </w:pPr>
            <w:r>
              <w:rPr/>
            </w:r>
          </w:p>
          <w:p>
            <w:pPr>
              <w:pStyle w:val="Normal"/>
              <w:jc w:val="both"/>
              <w:rPr/>
            </w:pPr>
            <w:r>
              <w:rPr/>
              <w:t>HDD for each day is equal to the greater of (i) 65 minus the non-rounded average of the daily high and daily low temperatures in degrees Fahrenheit from and including 12:01 AM on that day to and including 12:00 AM on the next day local time as measured by the National Weather Service (“NWS”), and reported by the NCDC, for the Reference Weather Station or (ii) zero.  The daily high and low temperatures measured by the NWS and reported by the NCDC shall be rounded to whole numbers prior to the calculation of HDDs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pPr>
            <w:r>
              <w:rPr/>
            </w:r>
          </w:p>
          <w:p>
            <w:pPr>
              <w:pStyle w:val="BodyText2"/>
              <w:rPr>
                <w:sz w:val="20"/>
              </w:rPr>
            </w:pPr>
            <w:r>
              <w:rPr>
                <w:sz w:val="20"/>
              </w:rPr>
              <w:t>“</w:t>
            </w:r>
            <w:r>
              <w:rPr>
                <w:sz w:val="20"/>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p>
            <w:pPr>
              <w:pStyle w:val="Normal"/>
              <w:jc w:val="both"/>
              <w:rPr>
                <w:sz w:val="20"/>
              </w:rPr>
            </w:pPr>
            <w:r>
              <w:rPr>
                <w:sz w:val="20"/>
              </w:rPr>
            </w:r>
          </w:p>
        </w:tc>
      </w:tr>
      <w:tr>
        <w:trPr/>
        <w:tc>
          <w:tcPr>
            <w:tcW w:w="3168" w:type="dxa"/>
            <w:tcBorders/>
          </w:tcPr>
          <w:p>
            <w:pPr>
              <w:pStyle w:val="Normal"/>
              <w:jc w:val="both"/>
              <w:rPr/>
            </w:pPr>
            <w:r>
              <w:rPr/>
              <w:t>Reference Weather Station(s)</w:t>
            </w:r>
          </w:p>
          <w:p>
            <w:pPr>
              <w:pStyle w:val="Normal"/>
              <w:jc w:val="both"/>
              <w:rPr/>
            </w:pPr>
            <w:r>
              <w:rPr/>
              <w:t>(“RWS”):</w:t>
            </w:r>
          </w:p>
          <w:p>
            <w:pPr>
              <w:pStyle w:val="Normal"/>
              <w:jc w:val="both"/>
              <w:rPr/>
            </w:pPr>
            <w:r>
              <w:rPr/>
            </w:r>
          </w:p>
        </w:tc>
        <w:tc>
          <w:tcPr>
            <w:tcW w:w="5760" w:type="dxa"/>
            <w:tcBorders/>
          </w:tcPr>
          <w:p>
            <w:pPr>
              <w:pStyle w:val="Normal"/>
              <w:jc w:val="both"/>
              <w:rPr/>
            </w:pPr>
            <w:r>
              <w:rPr>
                <w:color w:val="FF0000"/>
              </w:rPr>
              <w:t xml:space="preserve">[             ] [City, State] </w:t>
            </w:r>
            <w:r>
              <w:rPr>
                <w:color w:val="000000"/>
              </w:rPr>
              <w:t xml:space="preserve">WBAN # </w:t>
            </w:r>
            <w:r>
              <w:rPr>
                <w:color w:val="FF0000"/>
              </w:rPr>
              <w:t>[             ]</w:t>
            </w:r>
            <w:r>
              <w:rPr>
                <w:color w:val="000000"/>
              </w:rPr>
              <w:t xml:space="preserve">, WMO # </w:t>
            </w:r>
            <w:r>
              <w:rPr>
                <w:color w:val="FF0000"/>
              </w:rPr>
              <w:t>[             ]</w:t>
            </w:r>
          </w:p>
        </w:tc>
      </w:tr>
      <w:tr>
        <w:trPr/>
        <w:tc>
          <w:tcPr>
            <w:tcW w:w="3168" w:type="dxa"/>
            <w:tcBorders/>
          </w:tcPr>
          <w:p>
            <w:pPr>
              <w:pStyle w:val="Normal"/>
              <w:snapToGrid w:val="false"/>
              <w:jc w:val="both"/>
              <w:rPr>
                <w:color w:val="FF0000"/>
              </w:rPr>
            </w:pPr>
            <w:r>
              <w:rPr>
                <w:color w:val="FF0000"/>
              </w:rPr>
            </w:r>
          </w:p>
        </w:tc>
        <w:tc>
          <w:tcPr>
            <w:tcW w:w="5760" w:type="dxa"/>
            <w:tcBorders/>
          </w:tcPr>
          <w:p>
            <w:pPr>
              <w:pStyle w:val="Normal"/>
              <w:snapToGrid w:val="false"/>
              <w:jc w:val="both"/>
              <w:rPr/>
            </w:pPr>
            <w:r>
              <w:rPr/>
            </w:r>
          </w:p>
        </w:tc>
      </w:tr>
      <w:tr>
        <w:trPr/>
        <w:tc>
          <w:tcPr>
            <w:tcW w:w="3168" w:type="dxa"/>
            <w:tcBorders/>
          </w:tcPr>
          <w:p>
            <w:pPr>
              <w:pStyle w:val="Normal"/>
              <w:jc w:val="both"/>
              <w:rPr/>
            </w:pPr>
            <w:r>
              <w:rPr/>
              <w:t>Fallback Reference Weather Station (“FRWS”):</w:t>
            </w:r>
          </w:p>
        </w:tc>
        <w:tc>
          <w:tcPr>
            <w:tcW w:w="5760" w:type="dxa"/>
            <w:tcBorders/>
          </w:tcPr>
          <w:p>
            <w:pPr>
              <w:pStyle w:val="Normal"/>
              <w:jc w:val="both"/>
              <w:rPr>
                <w:color w:val="000000"/>
              </w:rPr>
            </w:pPr>
            <w:r>
              <w:rPr>
                <w:color w:val="00000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color w:val="000000"/>
              </w:rPr>
            </w:pPr>
            <w:r>
              <w:rPr>
                <w:color w:val="000000"/>
              </w:rPr>
            </w:r>
          </w:p>
          <w:p>
            <w:pPr>
              <w:pStyle w:val="Normal"/>
              <w:numPr>
                <w:ilvl w:val="0"/>
                <w:numId w:val="2"/>
              </w:numPr>
              <w:jc w:val="both"/>
              <w:rPr>
                <w:color w:val="000000"/>
              </w:rPr>
            </w:pPr>
            <w:r>
              <w:rPr>
                <w:color w:val="000000"/>
              </w:rPr>
              <w:t xml:space="preserve">the daily maximum (if the missing temperature is a daily maximum) or daily minimum (if the missing temperature is a daily minimum) temperature for the corresponding day of each of the previous 30 years at such RWS shall be identified as reported in degrees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2"/>
              </w:numPr>
              <w:jc w:val="both"/>
              <w:rPr>
                <w:color w:val="000000"/>
              </w:rPr>
            </w:pPr>
            <w:r>
              <w:rPr>
                <w:color w:val="000000"/>
              </w:rPr>
              <w:t xml:space="preserve">in accordance with the above procedures, the daily maximum or daily minimum temperature as appropriate shall be determined for the corresponding day of each of the previous 30 years at the NWS Weather Station at </w:t>
            </w:r>
            <w:r>
              <w:rPr>
                <w:color w:val="FF0000"/>
              </w:rPr>
              <w:t xml:space="preserve">[             ] [City, State] </w:t>
            </w:r>
            <w:r>
              <w:rPr>
                <w:color w:val="000000"/>
              </w:rPr>
              <w:t xml:space="preserve">WBAN # </w:t>
            </w:r>
            <w:r>
              <w:rPr>
                <w:color w:val="FF0000"/>
              </w:rPr>
              <w:t>[             ]</w:t>
            </w:r>
            <w:r>
              <w:rPr>
                <w:color w:val="000000"/>
              </w:rPr>
              <w:t xml:space="preserve">, WMO # </w:t>
            </w:r>
            <w:r>
              <w:rPr>
                <w:color w:val="FF0000"/>
              </w:rPr>
              <w:t>[             ]</w:t>
            </w:r>
            <w:r>
              <w:rPr>
                <w:color w:val="000000"/>
              </w:rPr>
              <w:t xml:space="preserve"> (the “Fallback Reference Weather </w:t>
            </w:r>
            <w:r>
              <w:rPr/>
              <w:t xml:space="preserve">Station”) </w:t>
            </w:r>
            <w:r>
              <w:rPr>
                <w:lang w:eastAsia="en-US"/>
              </w:rPr>
              <w:t xml:space="preserve">or in the event such data is not available, from the closest geographical location that publishes NWS data for that period </w:t>
            </w:r>
            <w:r>
              <w:rPr>
                <w:color w:val="000000"/>
              </w:rPr>
              <w:t>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numPr>
                <w:ilvl w:val="0"/>
                <w:numId w:val="2"/>
              </w:numPr>
              <w:jc w:val="both"/>
              <w:rPr>
                <w:color w:val="000000"/>
              </w:rPr>
            </w:pPr>
            <w:r>
              <w:rPr>
                <w:color w:val="00000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color w:val="000000"/>
              </w:rPr>
              <w:t xml:space="preserve">the daily maximum or daily minimum temperature as appropriate for the corresponding FRWS for the day for which the daily maximum or daily minimum temperature is missing for the RWS shall be identified as reported in degrees Fahrenheit by the NCDC (which number as reported by the NCDC shall not be rounded); and </w:t>
            </w:r>
          </w:p>
          <w:p>
            <w:pPr>
              <w:pStyle w:val="Normal"/>
              <w:numPr>
                <w:ilvl w:val="0"/>
                <w:numId w:val="2"/>
              </w:numPr>
              <w:jc w:val="both"/>
              <w:rPr/>
            </w:pPr>
            <w:r>
              <w:rPr>
                <w:color w:val="00000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“Cap and Floor Floating Amount” above.</w:t>
            </w:r>
          </w:p>
          <w:p>
            <w:pPr>
              <w:pStyle w:val="Normal"/>
              <w:jc w:val="both"/>
              <w:rPr/>
            </w:pPr>
            <w:r>
              <w:rPr/>
            </w:r>
          </w:p>
        </w:tc>
      </w:tr>
      <w:tr>
        <w:trPr/>
        <w:tc>
          <w:tcPr>
            <w:tcW w:w="3168" w:type="dxa"/>
            <w:tcBorders/>
          </w:tcPr>
          <w:p>
            <w:pPr>
              <w:pStyle w:val="Normal"/>
              <w:snapToGrid w:val="false"/>
              <w:jc w:val="both"/>
              <w:rPr/>
            </w:pPr>
            <w:r>
              <w:rPr/>
            </w:r>
          </w:p>
          <w:p>
            <w:pPr>
              <w:pStyle w:val="Normal"/>
              <w:jc w:val="both"/>
              <w:rPr/>
            </w:pPr>
            <w:r>
              <w:rPr/>
              <w:t>Data Sources:</w:t>
            </w:r>
          </w:p>
          <w:p>
            <w:pPr>
              <w:pStyle w:val="Normal"/>
              <w:jc w:val="both"/>
              <w:rPr/>
            </w:pPr>
            <w:r>
              <w:rPr/>
            </w:r>
          </w:p>
        </w:tc>
        <w:tc>
          <w:tcPr>
            <w:tcW w:w="5760" w:type="dxa"/>
            <w:tcBorders/>
          </w:tcPr>
          <w:p>
            <w:pPr>
              <w:pStyle w:val="Normal"/>
              <w:snapToGrid w:val="false"/>
              <w:jc w:val="both"/>
              <w:rPr/>
            </w:pPr>
            <w:r>
              <w:rPr/>
            </w:r>
          </w:p>
          <w:p>
            <w:pPr>
              <w:pStyle w:val="Normal"/>
              <w:spacing w:lineRule="atLeast" w:line="240"/>
              <w:jc w:val="both"/>
              <w:rPr/>
            </w:pPr>
            <w:r>
              <w:rPr>
                <w:rFonts w:cs="Tms Rmn;Times New Roman" w:ascii="Tms Rmn;Times New Roman" w:hAnsi="Tms Rmn;Times New Roman"/>
                <w:color w:val="000000"/>
                <w:lang w:eastAsia="en-US"/>
              </w:rPr>
              <w:t xml:space="preserve">The data used to determine the Floating Amount (and to the extent required, data for the FRWS) shall be obtained from the NCDC’s official website located at </w:t>
            </w:r>
            <w:r>
              <w:rPr>
                <w:rFonts w:cs="Tms Rmn;Times New Roman" w:ascii="Tms Rmn;Times New Roman" w:hAnsi="Tms Rmn;Times New Roman"/>
                <w:color w:val="FF0000"/>
                <w:lang w:eastAsia="en-US"/>
              </w:rPr>
              <w:t xml:space="preserve">http://www.nndc.noaa.gov, </w:t>
            </w:r>
            <w:r>
              <w:rPr>
                <w:rFonts w:cs="Tms Rmn;Times New Roman" w:ascii="Tms Rmn;Times New Roman" w:hAnsi="Tms Rmn;Times New Roman"/>
                <w:color w:val="000000"/>
                <w:lang w:eastAsia="en-US"/>
              </w:rPr>
              <w:t xml:space="preserve">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w:t>
            </w:r>
            <w:r>
              <w:rPr>
                <w:rFonts w:cs="Tms Rmn;Times New Roman" w:ascii="Tms Rmn;Times New Roman" w:hAnsi="Tms Rmn;Times New Roman"/>
                <w:color w:val="FF0000"/>
                <w:lang w:eastAsia="en-US"/>
              </w:rPr>
              <w:t>http://www4.ncdc.noaa.gov.</w:t>
            </w:r>
            <w:r>
              <w:rPr>
                <w:rFonts w:cs="Tms Rmn;Times New Roman" w:ascii="Tms Rmn;Times New Roman" w:hAnsi="Tms Rmn;Times New Roman"/>
                <w:color w:val="000000"/>
                <w:lang w:eastAsia="en-US"/>
              </w:rPr>
              <w:t xml:space="preserve"> Notwithstanding the foregoing, if neither the Regional Climate Data Center nor the NCDC issues data for the RWS, then the procedures set forth under "Fallback Reference Weather Station(s)" shall be utilized to determine the missing data.</w:t>
            </w:r>
          </w:p>
          <w:p>
            <w:pPr>
              <w:pStyle w:val="Normal"/>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r>
      <w:tr>
        <w:trPr/>
        <w:tc>
          <w:tcPr>
            <w:tcW w:w="3168" w:type="dxa"/>
            <w:tcBorders/>
          </w:tcPr>
          <w:p>
            <w:pPr>
              <w:pStyle w:val="Normal"/>
              <w:jc w:val="both"/>
              <w:rPr/>
            </w:pPr>
            <w:r>
              <w:rPr/>
              <w:t>Strike Price Differential:</w:t>
            </w:r>
          </w:p>
        </w:tc>
        <w:tc>
          <w:tcPr>
            <w:tcW w:w="5778" w:type="dxa"/>
            <w:tcBorders/>
          </w:tcPr>
          <w:p>
            <w:pPr>
              <w:pStyle w:val="Normal"/>
              <w:jc w:val="both"/>
              <w:rPr/>
            </w:pPr>
            <w:r>
              <w:rPr/>
              <w:t>With respect to (a) the Cap, the amount equal to the excess (if a positive number) of (i) the Cap and Floor Floating Amount over (ii) the Cap Strike Amount and (b) the Floor, the amount equal to the excess (if a positive number) of (i) the Floor Strike Amount over (ii) the Cap and Floor Floating Amount</w:t>
            </w:r>
          </w:p>
        </w:tc>
      </w:tr>
      <w:tr>
        <w:trPr/>
        <w:tc>
          <w:tcPr>
            <w:tcW w:w="3168" w:type="dxa"/>
            <w:tcBorders/>
          </w:tcPr>
          <w:p>
            <w:pPr>
              <w:pStyle w:val="Normal"/>
              <w:snapToGrid w:val="false"/>
              <w:jc w:val="both"/>
              <w:rPr/>
            </w:pPr>
            <w:r>
              <w:rPr/>
            </w:r>
          </w:p>
        </w:tc>
        <w:tc>
          <w:tcPr>
            <w:tcW w:w="577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5778" w:type="dxa"/>
            <w:tcBorders/>
          </w:tcPr>
          <w:p>
            <w:pPr>
              <w:pStyle w:val="Normal"/>
              <w:keepNext w:val="true"/>
              <w:keepLines/>
              <w:jc w:val="both"/>
              <w:rPr/>
            </w:pPr>
            <w:r>
              <w:rPr/>
              <w:t xml:space="preserve">Notwithstanding any provision of the Agreement to the contrary, for the Payment Date, an amount owing, if any, shall be payable in US Dollars by (a) the Cap Floating Amount Payer, if the Cap and Floor Floating Amount is greater than the Cap Strike Amount, equal to the product of (i) the Notional Amount and (ii) the Strike Price Differential, which amount shall be due and payable on the applicable Payment Date and (b) the Floor Floating Amount Payer, if the Floor Strike Amount is greater than the Cap and Floor Floating Amount, equal to the product of (i) the Notional Amount and (ii) Strike Price Differential which amount shall be due and payable on the applicable Payment Date, </w:t>
            </w:r>
            <w:r>
              <w:rPr>
                <w:b/>
              </w:rPr>
              <w:t>provided, however</w:t>
            </w:r>
            <w:r>
              <w:rPr/>
              <w:t xml:space="preserve">, that the maximum amount owing to the other party under either (a) or (b) above shall be </w:t>
            </w:r>
            <w:r>
              <w:rPr>
                <w:color w:val="FF0000"/>
              </w:rPr>
              <w:t>[             ].</w:t>
            </w:r>
          </w:p>
        </w:tc>
      </w:tr>
    </w:tbl>
    <w:p>
      <w:pPr>
        <w:pStyle w:val="Normal"/>
        <w:rPr>
          <w:sz w:val="18"/>
        </w:rPr>
      </w:pPr>
      <w:r>
        <w:rPr>
          <w:sz w:val="18"/>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18"/>
              </w:rPr>
            </w:pPr>
            <w:r>
              <w:rPr>
                <w:sz w:val="18"/>
              </w:rPr>
            </w:r>
          </w:p>
        </w:tc>
        <w:tc>
          <w:tcPr>
            <w:tcW w:w="4428" w:type="dxa"/>
            <w:tcBorders/>
          </w:tcPr>
          <w:p>
            <w:pPr>
              <w:pStyle w:val="Normal"/>
              <w:snapToGrid w:val="false"/>
              <w:rPr>
                <w:sz w:val="18"/>
              </w:rPr>
            </w:pPr>
            <w:r>
              <w:rPr>
                <w:sz w:val="18"/>
              </w:rPr>
            </w:r>
          </w:p>
        </w:tc>
      </w:tr>
      <w:tr>
        <w:trPr/>
        <w:tc>
          <w:tcPr>
            <w:tcW w:w="4428" w:type="dxa"/>
            <w:tcBorders/>
          </w:tcPr>
          <w:p>
            <w:pPr>
              <w:pStyle w:val="Normal"/>
              <w:rPr/>
            </w:pPr>
            <w:r>
              <w:rPr>
                <w:sz w:val="18"/>
              </w:rPr>
              <w:t>3.</w:t>
              <w:tab/>
            </w:r>
            <w:r>
              <w:rPr>
                <w:b/>
                <w:sz w:val="18"/>
                <w:u w:val="single"/>
              </w:rPr>
              <w:t>Account Details:</w:t>
            </w:r>
          </w:p>
          <w:p>
            <w:pPr>
              <w:pStyle w:val="Normal"/>
              <w:rPr>
                <w:b/>
                <w:sz w:val="18"/>
                <w:u w:val="single"/>
              </w:rPr>
            </w:pPr>
            <w:r>
              <w:rPr>
                <w:b/>
                <w:sz w:val="18"/>
                <w:u w:val="single"/>
              </w:rPr>
            </w:r>
          </w:p>
          <w:p>
            <w:pPr>
              <w:pStyle w:val="Normal"/>
              <w:rPr>
                <w:sz w:val="18"/>
              </w:rPr>
            </w:pPr>
            <w:r>
              <w:rPr>
                <w:sz w:val="18"/>
                <w:u w:val="single"/>
              </w:rPr>
              <w:t>Payments to ENA:</w:t>
            </w:r>
          </w:p>
        </w:tc>
        <w:tc>
          <w:tcPr>
            <w:tcW w:w="4428" w:type="dxa"/>
            <w:tcBorders/>
          </w:tcPr>
          <w:p>
            <w:pPr>
              <w:pStyle w:val="Normal"/>
              <w:snapToGrid w:val="false"/>
              <w:rPr>
                <w:sz w:val="18"/>
              </w:rPr>
            </w:pPr>
            <w:r>
              <w:rPr>
                <w:sz w:val="18"/>
              </w:rPr>
            </w:r>
          </w:p>
        </w:tc>
      </w:tr>
      <w:tr>
        <w:trPr/>
        <w:tc>
          <w:tcPr>
            <w:tcW w:w="4428" w:type="dxa"/>
            <w:tcBorders/>
          </w:tcPr>
          <w:p>
            <w:pPr>
              <w:pStyle w:val="Normal"/>
              <w:snapToGrid w:val="false"/>
              <w:rPr>
                <w:sz w:val="18"/>
              </w:rPr>
            </w:pPr>
            <w:r>
              <w:rPr>
                <w:sz w:val="18"/>
              </w:rPr>
            </w:r>
          </w:p>
        </w:tc>
        <w:tc>
          <w:tcPr>
            <w:tcW w:w="4428" w:type="dxa"/>
            <w:tcBorders/>
          </w:tcPr>
          <w:p>
            <w:pPr>
              <w:pStyle w:val="Normal"/>
              <w:snapToGrid w:val="false"/>
              <w:rPr>
                <w:sz w:val="18"/>
              </w:rPr>
            </w:pPr>
            <w:r>
              <w:rPr>
                <w:sz w:val="18"/>
              </w:rPr>
            </w:r>
          </w:p>
        </w:tc>
      </w:tr>
    </w:tbl>
    <w:p>
      <w:pPr>
        <w:pStyle w:val="Normal"/>
        <w:rPr>
          <w:sz w:val="18"/>
        </w:rPr>
      </w:pPr>
      <w:r>
        <w:rPr>
          <w:sz w:val="18"/>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18"/>
              </w:rPr>
            </w:pPr>
            <w:r>
              <w:rPr>
                <w:sz w:val="18"/>
              </w:rPr>
              <w:t xml:space="preserve">Pay  </w:t>
            </w:r>
          </w:p>
        </w:tc>
        <w:tc>
          <w:tcPr>
            <w:tcW w:w="5490" w:type="dxa"/>
            <w:gridSpan w:val="2"/>
            <w:tcBorders/>
          </w:tcPr>
          <w:p>
            <w:pPr>
              <w:pStyle w:val="Normal"/>
              <w:tabs>
                <w:tab w:val="clear" w:pos="720"/>
                <w:tab w:val="left" w:pos="360" w:leader="none"/>
              </w:tabs>
              <w:ind w:hanging="360" w:start="360" w:end="0"/>
              <w:rPr>
                <w:sz w:val="18"/>
              </w:rPr>
            </w:pPr>
            <w:r>
              <w:rPr>
                <w:sz w:val="18"/>
              </w:rPr>
              <w:t>:</w:t>
              <w:tab/>
              <w:t>Bank of America, N.A.</w:t>
            </w:r>
          </w:p>
        </w:tc>
      </w:tr>
      <w:tr>
        <w:trPr/>
        <w:tc>
          <w:tcPr>
            <w:tcW w:w="5490" w:type="dxa"/>
            <w:tcBorders/>
          </w:tcPr>
          <w:p>
            <w:pPr>
              <w:pStyle w:val="Normal"/>
              <w:snapToGrid w:val="false"/>
              <w:ind w:hanging="2160" w:start="2862" w:end="0"/>
              <w:rPr>
                <w:sz w:val="18"/>
              </w:rPr>
            </w:pPr>
            <w:r>
              <w:rPr>
                <w:sz w:val="18"/>
              </w:rPr>
            </w:r>
          </w:p>
        </w:tc>
        <w:tc>
          <w:tcPr>
            <w:tcW w:w="5490" w:type="dxa"/>
            <w:gridSpan w:val="2"/>
            <w:tcBorders/>
          </w:tcPr>
          <w:p>
            <w:pPr>
              <w:pStyle w:val="Normal"/>
              <w:tabs>
                <w:tab w:val="clear" w:pos="720"/>
                <w:tab w:val="left" w:pos="360" w:leader="none"/>
              </w:tabs>
              <w:snapToGrid w:val="false"/>
              <w:ind w:hanging="360" w:start="360" w:end="0"/>
              <w:rPr>
                <w:sz w:val="18"/>
              </w:rPr>
            </w:pPr>
            <w:r>
              <w:rPr>
                <w:sz w:val="18"/>
              </w:rPr>
            </w:r>
          </w:p>
        </w:tc>
      </w:tr>
      <w:tr>
        <w:trPr/>
        <w:tc>
          <w:tcPr>
            <w:tcW w:w="5490" w:type="dxa"/>
            <w:tcBorders/>
          </w:tcPr>
          <w:p>
            <w:pPr>
              <w:pStyle w:val="Normal"/>
              <w:ind w:start="2862" w:end="0"/>
              <w:rPr>
                <w:sz w:val="18"/>
              </w:rPr>
            </w:pPr>
            <w:r>
              <w:rPr>
                <w:sz w:val="18"/>
              </w:rPr>
              <w:t>For the Account of</w:t>
            </w:r>
          </w:p>
        </w:tc>
        <w:tc>
          <w:tcPr>
            <w:tcW w:w="5490" w:type="dxa"/>
            <w:gridSpan w:val="2"/>
            <w:tcBorders/>
          </w:tcPr>
          <w:p>
            <w:pPr>
              <w:pStyle w:val="Normal"/>
              <w:tabs>
                <w:tab w:val="clear" w:pos="720"/>
                <w:tab w:val="left" w:pos="360" w:leader="none"/>
              </w:tabs>
              <w:ind w:hanging="360" w:start="360" w:end="0"/>
              <w:rPr>
                <w:sz w:val="18"/>
              </w:rPr>
            </w:pPr>
            <w:r>
              <w:rPr>
                <w:sz w:val="18"/>
              </w:rPr>
              <w:t>:</w:t>
              <w:tab/>
              <w:t>Enron North America Corp.</w:t>
            </w:r>
          </w:p>
        </w:tc>
      </w:tr>
      <w:tr>
        <w:trPr/>
        <w:tc>
          <w:tcPr>
            <w:tcW w:w="5490" w:type="dxa"/>
            <w:tcBorders/>
          </w:tcPr>
          <w:p>
            <w:pPr>
              <w:pStyle w:val="Normal"/>
              <w:snapToGrid w:val="false"/>
              <w:ind w:start="2862" w:end="0"/>
              <w:rPr>
                <w:sz w:val="18"/>
              </w:rPr>
            </w:pPr>
            <w:r>
              <w:rPr>
                <w:sz w:val="18"/>
              </w:rPr>
            </w:r>
          </w:p>
        </w:tc>
        <w:tc>
          <w:tcPr>
            <w:tcW w:w="5490" w:type="dxa"/>
            <w:gridSpan w:val="2"/>
            <w:tcBorders/>
          </w:tcPr>
          <w:p>
            <w:pPr>
              <w:pStyle w:val="Normal"/>
              <w:tabs>
                <w:tab w:val="clear" w:pos="720"/>
                <w:tab w:val="left" w:pos="360" w:leader="none"/>
              </w:tabs>
              <w:snapToGrid w:val="false"/>
              <w:ind w:hanging="360" w:start="360" w:end="0"/>
              <w:rPr>
                <w:sz w:val="18"/>
              </w:rPr>
            </w:pPr>
            <w:r>
              <w:rPr>
                <w:sz w:val="18"/>
              </w:rPr>
            </w:r>
          </w:p>
        </w:tc>
      </w:tr>
      <w:tr>
        <w:trPr/>
        <w:tc>
          <w:tcPr>
            <w:tcW w:w="5490" w:type="dxa"/>
            <w:tcBorders/>
          </w:tcPr>
          <w:p>
            <w:pPr>
              <w:pStyle w:val="Normal"/>
              <w:ind w:start="2862" w:end="0"/>
              <w:rPr>
                <w:sz w:val="18"/>
              </w:rPr>
            </w:pPr>
            <w:r>
              <w:rPr>
                <w:sz w:val="18"/>
              </w:rPr>
              <w:t>Account Number/</w:t>
            </w:r>
          </w:p>
          <w:p>
            <w:pPr>
              <w:pStyle w:val="Normal"/>
              <w:ind w:start="2862" w:end="0"/>
              <w:rPr>
                <w:sz w:val="18"/>
              </w:rPr>
            </w:pPr>
            <w:r>
              <w:rPr>
                <w:sz w:val="18"/>
              </w:rPr>
              <w:t>CHIPS UID</w:t>
            </w:r>
          </w:p>
        </w:tc>
        <w:tc>
          <w:tcPr>
            <w:tcW w:w="5490" w:type="dxa"/>
            <w:gridSpan w:val="2"/>
            <w:tcBorders/>
          </w:tcPr>
          <w:p>
            <w:pPr>
              <w:pStyle w:val="Normal"/>
              <w:tabs>
                <w:tab w:val="clear" w:pos="720"/>
                <w:tab w:val="left" w:pos="360" w:leader="none"/>
              </w:tabs>
              <w:snapToGrid w:val="false"/>
              <w:ind w:hanging="360" w:start="360" w:end="0"/>
              <w:rPr>
                <w:sz w:val="18"/>
              </w:rPr>
            </w:pPr>
            <w:r>
              <w:rPr>
                <w:sz w:val="18"/>
              </w:rPr>
            </w:r>
          </w:p>
          <w:p>
            <w:pPr>
              <w:pStyle w:val="Normal"/>
              <w:tabs>
                <w:tab w:val="clear" w:pos="720"/>
                <w:tab w:val="left" w:pos="360" w:leader="none"/>
              </w:tabs>
              <w:ind w:hanging="360" w:start="360" w:end="0"/>
              <w:rPr>
                <w:sz w:val="18"/>
              </w:rPr>
            </w:pPr>
            <w:r>
              <w:rPr>
                <w:sz w:val="18"/>
              </w:rPr>
              <w:t>:</w:t>
              <w:tab/>
              <w:t>3750494727</w:t>
            </w:r>
          </w:p>
        </w:tc>
      </w:tr>
      <w:tr>
        <w:trPr/>
        <w:tc>
          <w:tcPr>
            <w:tcW w:w="5490" w:type="dxa"/>
            <w:tcBorders/>
          </w:tcPr>
          <w:p>
            <w:pPr>
              <w:pStyle w:val="Normal"/>
              <w:snapToGrid w:val="false"/>
              <w:ind w:start="2862" w:end="0"/>
              <w:rPr>
                <w:sz w:val="18"/>
              </w:rPr>
            </w:pPr>
            <w:r>
              <w:rPr>
                <w:sz w:val="18"/>
              </w:rPr>
            </w:r>
          </w:p>
        </w:tc>
        <w:tc>
          <w:tcPr>
            <w:tcW w:w="5490" w:type="dxa"/>
            <w:gridSpan w:val="2"/>
            <w:tcBorders/>
          </w:tcPr>
          <w:p>
            <w:pPr>
              <w:pStyle w:val="Normal"/>
              <w:tabs>
                <w:tab w:val="clear" w:pos="720"/>
                <w:tab w:val="left" w:pos="360" w:leader="none"/>
              </w:tabs>
              <w:snapToGrid w:val="false"/>
              <w:ind w:hanging="360" w:start="360" w:end="0"/>
              <w:rPr>
                <w:sz w:val="18"/>
              </w:rPr>
            </w:pPr>
            <w:r>
              <w:rPr>
                <w:sz w:val="18"/>
              </w:rPr>
            </w:r>
          </w:p>
        </w:tc>
      </w:tr>
      <w:tr>
        <w:trPr/>
        <w:tc>
          <w:tcPr>
            <w:tcW w:w="5490" w:type="dxa"/>
            <w:tcBorders/>
          </w:tcPr>
          <w:p>
            <w:pPr>
              <w:pStyle w:val="Normal"/>
              <w:ind w:start="2862" w:end="0"/>
              <w:rPr>
                <w:sz w:val="18"/>
              </w:rPr>
            </w:pPr>
            <w:r>
              <w:rPr>
                <w:sz w:val="18"/>
              </w:rPr>
              <w:t>Fed. ABA No.</w:t>
            </w:r>
          </w:p>
        </w:tc>
        <w:tc>
          <w:tcPr>
            <w:tcW w:w="5490" w:type="dxa"/>
            <w:gridSpan w:val="2"/>
            <w:tcBorders/>
          </w:tcPr>
          <w:p>
            <w:pPr>
              <w:pStyle w:val="Normal"/>
              <w:tabs>
                <w:tab w:val="clear" w:pos="720"/>
                <w:tab w:val="left" w:pos="360" w:leader="none"/>
              </w:tabs>
              <w:ind w:hanging="360" w:start="360" w:end="0"/>
              <w:rPr>
                <w:sz w:val="18"/>
              </w:rPr>
            </w:pPr>
            <w:r>
              <w:rPr>
                <w:sz w:val="18"/>
              </w:rPr>
              <w:t>:</w:t>
              <w:tab/>
              <w:t>111000012</w:t>
            </w:r>
          </w:p>
        </w:tc>
      </w:tr>
      <w:tr>
        <w:trPr/>
        <w:tc>
          <w:tcPr>
            <w:tcW w:w="5499" w:type="dxa"/>
            <w:gridSpan w:val="2"/>
            <w:tcBorders/>
          </w:tcPr>
          <w:p>
            <w:pPr>
              <w:pStyle w:val="Normal"/>
              <w:snapToGrid w:val="false"/>
              <w:ind w:firstLine="90" w:start="2862" w:end="0"/>
              <w:rPr>
                <w:sz w:val="18"/>
              </w:rPr>
            </w:pPr>
            <w:r>
              <w:rPr>
                <w:sz w:val="18"/>
              </w:rPr>
            </w:r>
          </w:p>
        </w:tc>
        <w:tc>
          <w:tcPr>
            <w:tcW w:w="5499" w:type="dxa"/>
            <w:tcBorders/>
          </w:tcPr>
          <w:p>
            <w:pPr>
              <w:pStyle w:val="Normal"/>
              <w:snapToGrid w:val="false"/>
              <w:rPr>
                <w:sz w:val="18"/>
              </w:rPr>
            </w:pPr>
            <w:r>
              <w:rPr>
                <w:sz w:val="18"/>
              </w:rPr>
            </w:r>
          </w:p>
        </w:tc>
      </w:tr>
      <w:tr>
        <w:trPr/>
        <w:tc>
          <w:tcPr>
            <w:tcW w:w="5499" w:type="dxa"/>
            <w:gridSpan w:val="2"/>
            <w:tcBorders/>
          </w:tcPr>
          <w:p>
            <w:pPr>
              <w:pStyle w:val="Normal"/>
              <w:keepNext w:val="true"/>
              <w:ind w:hanging="2160" w:start="2862" w:end="0"/>
              <w:rPr>
                <w:sz w:val="18"/>
              </w:rPr>
            </w:pPr>
            <w:r>
              <w:rPr>
                <w:sz w:val="18"/>
              </w:rPr>
              <w:tab/>
            </w:r>
            <w:r>
              <w:rPr>
                <w:sz w:val="18"/>
                <w:u w:val="single"/>
              </w:rPr>
              <w:t>Payments to Counterparty:</w:t>
            </w:r>
          </w:p>
        </w:tc>
        <w:tc>
          <w:tcPr>
            <w:tcW w:w="5499" w:type="dxa"/>
            <w:tcBorders/>
          </w:tcPr>
          <w:p>
            <w:pPr>
              <w:pStyle w:val="Normal"/>
              <w:keepNext w:val="true"/>
              <w:snapToGrid w:val="false"/>
              <w:rPr>
                <w:sz w:val="18"/>
              </w:rPr>
            </w:pPr>
            <w:r>
              <w:rPr>
                <w:sz w:val="18"/>
              </w:rPr>
            </w:r>
          </w:p>
        </w:tc>
      </w:tr>
      <w:tr>
        <w:trPr/>
        <w:tc>
          <w:tcPr>
            <w:tcW w:w="5499" w:type="dxa"/>
            <w:gridSpan w:val="2"/>
            <w:tcBorders/>
          </w:tcPr>
          <w:p>
            <w:pPr>
              <w:pStyle w:val="Normal"/>
              <w:keepNext w:val="true"/>
              <w:snapToGrid w:val="false"/>
              <w:ind w:hanging="2160" w:start="2862" w:end="0"/>
              <w:rPr>
                <w:sz w:val="18"/>
              </w:rPr>
            </w:pPr>
            <w:r>
              <w:rPr>
                <w:sz w:val="18"/>
              </w:rPr>
            </w:r>
          </w:p>
        </w:tc>
        <w:tc>
          <w:tcPr>
            <w:tcW w:w="5499" w:type="dxa"/>
            <w:tcBorders/>
          </w:tcPr>
          <w:p>
            <w:pPr>
              <w:pStyle w:val="Normal"/>
              <w:keepNext w:val="true"/>
              <w:snapToGrid w:val="false"/>
              <w:rPr>
                <w:sz w:val="18"/>
              </w:rPr>
            </w:pPr>
            <w:r>
              <w:rPr>
                <w:sz w:val="18"/>
              </w:rPr>
            </w:r>
          </w:p>
        </w:tc>
      </w:tr>
      <w:tr>
        <w:trPr/>
        <w:tc>
          <w:tcPr>
            <w:tcW w:w="5490" w:type="dxa"/>
            <w:tcBorders/>
          </w:tcPr>
          <w:p>
            <w:pPr>
              <w:pStyle w:val="Normal"/>
              <w:keepNext w:val="true"/>
              <w:ind w:start="2862" w:end="0"/>
              <w:rPr>
                <w:sz w:val="18"/>
              </w:rPr>
            </w:pPr>
            <w:r>
              <w:rPr>
                <w:sz w:val="18"/>
              </w:rPr>
              <w:t xml:space="preserve">Pay  </w:t>
            </w:r>
          </w:p>
        </w:tc>
        <w:tc>
          <w:tcPr>
            <w:tcW w:w="5490" w:type="dxa"/>
            <w:gridSpan w:val="2"/>
            <w:tcBorders/>
          </w:tcPr>
          <w:p>
            <w:pPr>
              <w:pStyle w:val="Normal"/>
              <w:keepNext w:val="true"/>
              <w:tabs>
                <w:tab w:val="clear" w:pos="720"/>
                <w:tab w:val="left" w:pos="360" w:leader="none"/>
              </w:tabs>
              <w:ind w:hanging="360" w:start="360" w:end="0"/>
              <w:rPr>
                <w:sz w:val="18"/>
              </w:rPr>
            </w:pPr>
            <w:r>
              <w:rPr>
                <w:sz w:val="18"/>
              </w:rPr>
              <w:t>:</w:t>
            </w:r>
          </w:p>
        </w:tc>
      </w:tr>
      <w:tr>
        <w:trPr/>
        <w:tc>
          <w:tcPr>
            <w:tcW w:w="5490" w:type="dxa"/>
            <w:tcBorders/>
          </w:tcPr>
          <w:p>
            <w:pPr>
              <w:pStyle w:val="Normal"/>
              <w:keepNext w:val="true"/>
              <w:snapToGrid w:val="false"/>
              <w:ind w:hanging="2160" w:start="2862" w:end="0"/>
              <w:rPr>
                <w:sz w:val="18"/>
              </w:rPr>
            </w:pPr>
            <w:r>
              <w:rPr>
                <w:sz w:val="18"/>
              </w:rPr>
            </w:r>
          </w:p>
        </w:tc>
        <w:tc>
          <w:tcPr>
            <w:tcW w:w="5490" w:type="dxa"/>
            <w:gridSpan w:val="2"/>
            <w:tcBorders/>
          </w:tcPr>
          <w:p>
            <w:pPr>
              <w:pStyle w:val="Normal"/>
              <w:keepNext w:val="true"/>
              <w:tabs>
                <w:tab w:val="clear" w:pos="720"/>
                <w:tab w:val="left" w:pos="360" w:leader="none"/>
              </w:tabs>
              <w:snapToGrid w:val="false"/>
              <w:ind w:hanging="360" w:start="360" w:end="0"/>
              <w:rPr>
                <w:sz w:val="18"/>
              </w:rPr>
            </w:pPr>
            <w:r>
              <w:rPr>
                <w:sz w:val="18"/>
              </w:rPr>
            </w:r>
          </w:p>
        </w:tc>
      </w:tr>
      <w:tr>
        <w:trPr/>
        <w:tc>
          <w:tcPr>
            <w:tcW w:w="5490" w:type="dxa"/>
            <w:tcBorders/>
          </w:tcPr>
          <w:p>
            <w:pPr>
              <w:pStyle w:val="Normal"/>
              <w:keepNext w:val="true"/>
              <w:ind w:start="2862" w:end="0"/>
              <w:rPr>
                <w:sz w:val="18"/>
              </w:rPr>
            </w:pPr>
            <w:r>
              <w:rPr>
                <w:sz w:val="18"/>
              </w:rPr>
              <w:t>For the Account of</w:t>
            </w:r>
          </w:p>
        </w:tc>
        <w:tc>
          <w:tcPr>
            <w:tcW w:w="5490" w:type="dxa"/>
            <w:gridSpan w:val="2"/>
            <w:tcBorders/>
          </w:tcPr>
          <w:p>
            <w:pPr>
              <w:pStyle w:val="Normal"/>
              <w:keepNext w:val="true"/>
              <w:tabs>
                <w:tab w:val="clear" w:pos="720"/>
                <w:tab w:val="left" w:pos="360" w:leader="none"/>
              </w:tabs>
              <w:ind w:hanging="360" w:start="360" w:end="0"/>
              <w:rPr>
                <w:sz w:val="18"/>
              </w:rPr>
            </w:pPr>
            <w:r>
              <w:rPr>
                <w:sz w:val="18"/>
              </w:rPr>
              <w:t>:</w:t>
            </w:r>
          </w:p>
        </w:tc>
      </w:tr>
      <w:tr>
        <w:trPr/>
        <w:tc>
          <w:tcPr>
            <w:tcW w:w="5490" w:type="dxa"/>
            <w:tcBorders/>
          </w:tcPr>
          <w:p>
            <w:pPr>
              <w:pStyle w:val="Normal"/>
              <w:keepNext w:val="true"/>
              <w:snapToGrid w:val="false"/>
              <w:ind w:start="2862" w:end="0"/>
              <w:rPr>
                <w:sz w:val="18"/>
              </w:rPr>
            </w:pPr>
            <w:r>
              <w:rPr>
                <w:sz w:val="18"/>
              </w:rPr>
            </w:r>
          </w:p>
        </w:tc>
        <w:tc>
          <w:tcPr>
            <w:tcW w:w="5490" w:type="dxa"/>
            <w:gridSpan w:val="2"/>
            <w:tcBorders/>
          </w:tcPr>
          <w:p>
            <w:pPr>
              <w:pStyle w:val="Normal"/>
              <w:keepNext w:val="true"/>
              <w:tabs>
                <w:tab w:val="clear" w:pos="720"/>
                <w:tab w:val="left" w:pos="360" w:leader="none"/>
              </w:tabs>
              <w:snapToGrid w:val="false"/>
              <w:ind w:hanging="360" w:start="360" w:end="0"/>
              <w:rPr>
                <w:sz w:val="18"/>
              </w:rPr>
            </w:pPr>
            <w:r>
              <w:rPr>
                <w:sz w:val="18"/>
              </w:rPr>
            </w:r>
          </w:p>
        </w:tc>
      </w:tr>
      <w:tr>
        <w:trPr/>
        <w:tc>
          <w:tcPr>
            <w:tcW w:w="5490" w:type="dxa"/>
            <w:tcBorders/>
          </w:tcPr>
          <w:p>
            <w:pPr>
              <w:pStyle w:val="Normal"/>
              <w:keepNext w:val="true"/>
              <w:ind w:start="2862" w:end="0"/>
              <w:rPr>
                <w:sz w:val="18"/>
              </w:rPr>
            </w:pPr>
            <w:r>
              <w:rPr>
                <w:sz w:val="18"/>
              </w:rPr>
              <w:t>Account Number/</w:t>
            </w:r>
          </w:p>
          <w:p>
            <w:pPr>
              <w:pStyle w:val="Normal"/>
              <w:keepNext w:val="true"/>
              <w:ind w:start="2862" w:end="0"/>
              <w:rPr>
                <w:sz w:val="18"/>
              </w:rPr>
            </w:pPr>
            <w:r>
              <w:rPr>
                <w:sz w:val="18"/>
              </w:rPr>
              <w:t>CHIPS UID</w:t>
            </w:r>
          </w:p>
        </w:tc>
        <w:tc>
          <w:tcPr>
            <w:tcW w:w="5490" w:type="dxa"/>
            <w:gridSpan w:val="2"/>
            <w:tcBorders/>
          </w:tcPr>
          <w:p>
            <w:pPr>
              <w:pStyle w:val="Normal"/>
              <w:keepNext w:val="true"/>
              <w:tabs>
                <w:tab w:val="clear" w:pos="720"/>
                <w:tab w:val="left" w:pos="360" w:leader="none"/>
              </w:tabs>
              <w:snapToGrid w:val="false"/>
              <w:ind w:hanging="360" w:start="360" w:end="0"/>
              <w:rPr>
                <w:sz w:val="18"/>
              </w:rPr>
            </w:pPr>
            <w:r>
              <w:rPr>
                <w:sz w:val="18"/>
              </w:rPr>
            </w:r>
          </w:p>
          <w:p>
            <w:pPr>
              <w:pStyle w:val="Normal"/>
              <w:keepNext w:val="true"/>
              <w:tabs>
                <w:tab w:val="clear" w:pos="720"/>
                <w:tab w:val="left" w:pos="360" w:leader="none"/>
              </w:tabs>
              <w:ind w:hanging="360" w:start="360" w:end="0"/>
              <w:rPr>
                <w:sz w:val="18"/>
              </w:rPr>
            </w:pPr>
            <w:r>
              <w:rPr>
                <w:sz w:val="18"/>
              </w:rPr>
              <w:t>:</w:t>
            </w:r>
          </w:p>
        </w:tc>
      </w:tr>
      <w:tr>
        <w:trPr/>
        <w:tc>
          <w:tcPr>
            <w:tcW w:w="5490" w:type="dxa"/>
            <w:tcBorders/>
          </w:tcPr>
          <w:p>
            <w:pPr>
              <w:pStyle w:val="Normal"/>
              <w:keepNext w:val="true"/>
              <w:snapToGrid w:val="false"/>
              <w:ind w:start="2862" w:end="0"/>
              <w:rPr>
                <w:sz w:val="18"/>
              </w:rPr>
            </w:pPr>
            <w:r>
              <w:rPr>
                <w:sz w:val="18"/>
              </w:rPr>
            </w:r>
          </w:p>
        </w:tc>
        <w:tc>
          <w:tcPr>
            <w:tcW w:w="5490" w:type="dxa"/>
            <w:gridSpan w:val="2"/>
            <w:tcBorders/>
          </w:tcPr>
          <w:p>
            <w:pPr>
              <w:pStyle w:val="Normal"/>
              <w:keepNext w:val="true"/>
              <w:tabs>
                <w:tab w:val="clear" w:pos="720"/>
                <w:tab w:val="left" w:pos="360" w:leader="none"/>
              </w:tabs>
              <w:snapToGrid w:val="false"/>
              <w:ind w:hanging="360" w:start="360" w:end="0"/>
              <w:rPr>
                <w:sz w:val="18"/>
              </w:rPr>
            </w:pPr>
            <w:r>
              <w:rPr>
                <w:sz w:val="18"/>
              </w:rPr>
            </w:r>
          </w:p>
        </w:tc>
      </w:tr>
      <w:tr>
        <w:trPr/>
        <w:tc>
          <w:tcPr>
            <w:tcW w:w="5490" w:type="dxa"/>
            <w:tcBorders/>
          </w:tcPr>
          <w:p>
            <w:pPr>
              <w:pStyle w:val="Normal"/>
              <w:keepNext w:val="true"/>
              <w:ind w:start="2862" w:end="0"/>
              <w:rPr>
                <w:sz w:val="18"/>
              </w:rPr>
            </w:pPr>
            <w:r>
              <w:rPr>
                <w:sz w:val="18"/>
              </w:rPr>
              <w:t>Fed. ABA No.</w:t>
            </w:r>
          </w:p>
        </w:tc>
        <w:tc>
          <w:tcPr>
            <w:tcW w:w="5490" w:type="dxa"/>
            <w:gridSpan w:val="2"/>
            <w:tcBorders/>
          </w:tcPr>
          <w:p>
            <w:pPr>
              <w:pStyle w:val="Normal"/>
              <w:keepNext w:val="true"/>
              <w:tabs>
                <w:tab w:val="clear" w:pos="720"/>
                <w:tab w:val="left" w:pos="360" w:leader="none"/>
              </w:tabs>
              <w:ind w:hanging="360" w:start="360" w:end="0"/>
              <w:rPr>
                <w:sz w:val="18"/>
              </w:rPr>
            </w:pPr>
            <w:r>
              <w:rPr>
                <w:sz w:val="18"/>
              </w:rPr>
              <w:t>:</w:t>
            </w:r>
          </w:p>
        </w:tc>
      </w:tr>
      <w:tr>
        <w:trPr/>
        <w:tc>
          <w:tcPr>
            <w:tcW w:w="5499" w:type="dxa"/>
            <w:gridSpan w:val="2"/>
            <w:tcBorders/>
          </w:tcPr>
          <w:p>
            <w:pPr>
              <w:pStyle w:val="Normal"/>
              <w:keepNext w:val="true"/>
              <w:snapToGrid w:val="false"/>
              <w:ind w:firstLine="90" w:start="2862" w:end="0"/>
              <w:rPr>
                <w:sz w:val="18"/>
              </w:rPr>
            </w:pPr>
            <w:r>
              <w:rPr>
                <w:sz w:val="18"/>
              </w:rPr>
            </w:r>
          </w:p>
        </w:tc>
        <w:tc>
          <w:tcPr>
            <w:tcW w:w="5499" w:type="dxa"/>
            <w:tcBorders/>
          </w:tcPr>
          <w:p>
            <w:pPr>
              <w:pStyle w:val="Normal"/>
              <w:keepNext w:val="true"/>
              <w:snapToGrid w:val="false"/>
              <w:rPr>
                <w:sz w:val="18"/>
              </w:rPr>
            </w:pPr>
            <w:r>
              <w:rPr>
                <w:sz w:val="18"/>
              </w:rPr>
            </w:r>
          </w:p>
        </w:tc>
      </w:tr>
      <w:tr>
        <w:trPr/>
        <w:tc>
          <w:tcPr>
            <w:tcW w:w="5499" w:type="dxa"/>
            <w:gridSpan w:val="2"/>
            <w:tcBorders/>
          </w:tcPr>
          <w:p>
            <w:pPr>
              <w:pStyle w:val="Normal"/>
              <w:keepNext w:val="true"/>
              <w:ind w:hanging="2160" w:start="2862" w:end="0"/>
              <w:rPr>
                <w:sz w:val="18"/>
              </w:rPr>
            </w:pPr>
            <w:r>
              <w:rPr>
                <w:sz w:val="18"/>
              </w:rPr>
              <w:tab/>
              <w:t xml:space="preserve">Attn:  </w:t>
            </w:r>
          </w:p>
        </w:tc>
        <w:tc>
          <w:tcPr>
            <w:tcW w:w="5499" w:type="dxa"/>
            <w:tcBorders/>
          </w:tcPr>
          <w:p>
            <w:pPr>
              <w:pStyle w:val="Normal"/>
              <w:keepNext w:val="true"/>
              <w:snapToGrid w:val="false"/>
              <w:rPr>
                <w:sz w:val="18"/>
              </w:rPr>
            </w:pPr>
            <w:r>
              <w:rPr>
                <w:sz w:val="18"/>
              </w:rPr>
            </w:r>
          </w:p>
        </w:tc>
      </w:tr>
      <w:tr>
        <w:trPr/>
        <w:tc>
          <w:tcPr>
            <w:tcW w:w="5499" w:type="dxa"/>
            <w:gridSpan w:val="2"/>
            <w:tcBorders/>
          </w:tcPr>
          <w:p>
            <w:pPr>
              <w:pStyle w:val="Normal"/>
              <w:keepNext w:val="true"/>
              <w:snapToGrid w:val="false"/>
              <w:ind w:hanging="2160" w:start="2862" w:end="0"/>
              <w:rPr>
                <w:sz w:val="18"/>
              </w:rPr>
            </w:pPr>
            <w:r>
              <w:rPr>
                <w:sz w:val="18"/>
              </w:rPr>
            </w:r>
          </w:p>
        </w:tc>
        <w:tc>
          <w:tcPr>
            <w:tcW w:w="5499" w:type="dxa"/>
            <w:tcBorders/>
          </w:tcPr>
          <w:p>
            <w:pPr>
              <w:pStyle w:val="Normal"/>
              <w:keepNext w:val="true"/>
              <w:snapToGrid w:val="false"/>
              <w:rPr>
                <w:sz w:val="18"/>
              </w:rPr>
            </w:pPr>
            <w:r>
              <w:rPr>
                <w:sz w:val="18"/>
              </w:rPr>
            </w:r>
          </w:p>
        </w:tc>
      </w:tr>
    </w:tbl>
    <w:p>
      <w:pPr>
        <w:pStyle w:val="Normal"/>
        <w:jc w:val="both"/>
        <w:rPr>
          <w:sz w:val="18"/>
        </w:rPr>
      </w:pPr>
      <w:r>
        <w:rPr>
          <w:sz w:val="18"/>
        </w:rPr>
      </w:r>
    </w:p>
    <w:p>
      <w:pPr>
        <w:pStyle w:val="Normal"/>
        <w:jc w:val="both"/>
        <w:rPr/>
      </w:pPr>
      <w:r>
        <w:rPr>
          <w:sz w:val="18"/>
        </w:rPr>
        <w:t>4.</w:t>
        <w:tab/>
      </w:r>
      <w:r>
        <w:rPr>
          <w:b/>
          <w:sz w:val="18"/>
          <w:u w:val="single"/>
        </w:rPr>
        <w:t>General</w:t>
      </w:r>
      <w:r>
        <w:rPr>
          <w:b/>
          <w:sz w:val="18"/>
        </w:rPr>
        <w:t>.</w:t>
      </w:r>
      <w:r>
        <w:rPr>
          <w:sz w:val="18"/>
        </w:rPr>
        <w:t xml:space="preserve">  The Transaction is subject to the terms and conditions of the 1992 Master Agreement (Multicurrency-Cross Border) (the “ISDA Agreement”) published by the International Swaps and Derivatives Association (“ISDA”), as modified by this Confirmation.  Capitalized terms used herein and in the Annexes attached hereto and not otherwise defined herein and in the Annexes attached hereto shall have the meanings given to such terms in the ISDA Agreement.  Each party acknowledges that it has a copy of the ISDA Agreement and it has read and understands the terms and conditions thereof.  The definitions and provisions contained in the 1993 ISDA Commodity Derivatives Definitions and the 1991 ISDA Definitions (the “Definitions”), as published by ISDA are incorporated into this Confirmation.  In the event of any inconsistency between the Definitions and this Confirmation, this Confirmation will prevail.  In the event of any inconsistency between the 1993 ISDA Commodity Derivative Definitions and the 1991 ISDA Definitions, the 1993 ISDA Commodity Derivatives Definitions will prevail.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18"/>
        </w:rPr>
      </w:pPr>
      <w:r>
        <w:rPr>
          <w:sz w:val="18"/>
        </w:rPr>
      </w:r>
    </w:p>
    <w:p>
      <w:pPr>
        <w:pStyle w:val="Normal"/>
        <w:jc w:val="both"/>
        <w:rPr>
          <w:sz w:val="18"/>
        </w:rPr>
      </w:pPr>
      <w:r>
        <w:rPr>
          <w:sz w:val="18"/>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18"/>
        </w:rPr>
      </w:pPr>
      <w:r>
        <w:rPr>
          <w:sz w:val="18"/>
        </w:rPr>
      </w:r>
    </w:p>
    <w:p>
      <w:pPr>
        <w:pStyle w:val="Normal"/>
        <w:tabs>
          <w:tab w:val="clear" w:pos="720"/>
          <w:tab w:val="left" w:pos="360" w:leader="none"/>
        </w:tabs>
        <w:jc w:val="both"/>
        <w:rPr/>
      </w:pPr>
      <w:r>
        <w:rPr>
          <w:sz w:val="18"/>
        </w:rPr>
        <w:t>5.</w:t>
      </w:r>
      <w:r>
        <w:rPr>
          <w:b/>
          <w:sz w:val="18"/>
        </w:rPr>
        <w:tab/>
        <w:tab/>
      </w:r>
      <w:r>
        <w:rPr>
          <w:b/>
          <w:sz w:val="18"/>
          <w:u w:val="single"/>
        </w:rPr>
        <w:t>Representations</w:t>
      </w:r>
      <w:r>
        <w:rPr>
          <w:b/>
          <w:sz w:val="18"/>
        </w:rPr>
        <w:t>.</w:t>
      </w:r>
      <w:r>
        <w:rPr>
          <w:sz w:val="18"/>
        </w:rPr>
        <w:t xml:space="preserve">  To induce the other to enter into the Transaction, each party represents and warrants to the other that : (a) </w:t>
      </w:r>
      <w:r>
        <w:rPr>
          <w:sz w:val="18"/>
          <w:u w:val="single"/>
        </w:rPr>
        <w:t>Authority</w:t>
      </w:r>
      <w:r>
        <w:rPr>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18"/>
          <w:u w:val="single"/>
        </w:rPr>
        <w:t>Eligible Swap Participant</w:t>
      </w:r>
      <w:r>
        <w:rPr>
          <w:sz w:val="18"/>
        </w:rPr>
        <w:t xml:space="preserve">: it constitutes an “eligible swap participant” as such term is defined in  17 C.F.R. Section 35.1(b)(2) and this Confirmation constitutes a “swap agreement” within the meaning of 17 C.F.R. Section 35.1(b)(1); and (c) </w:t>
      </w:r>
      <w:r>
        <w:rPr>
          <w:sz w:val="18"/>
          <w:u w:val="single"/>
        </w:rPr>
        <w:t>Line of Business</w:t>
      </w:r>
      <w:r>
        <w:rPr>
          <w:sz w:val="18"/>
        </w:rPr>
        <w:t xml:space="preserve">: ENA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sz w:val="18"/>
          <w:u w:val="single"/>
        </w:rPr>
        <w:t>No Reliance and No Advisory Status</w:t>
      </w:r>
      <w:r>
        <w:rPr>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sz w:val="18"/>
          <w:u w:val="single"/>
        </w:rPr>
        <w:t>Tax Representations and Covenants</w:t>
      </w:r>
      <w:r>
        <w:rPr>
          <w:sz w:val="18"/>
        </w:rPr>
        <w:t xml:space="preserve">:  for purposes of Section 3(e) and 3(f) of the ISDA Agreement, each of the parties makes the representations applicable to it as set forth in Sections I(a) and (b) of </w:t>
      </w:r>
      <w:r>
        <w:rPr>
          <w:sz w:val="18"/>
          <w:u w:val="single"/>
        </w:rPr>
        <w:t>Annex A</w:t>
      </w:r>
      <w:r>
        <w:rPr>
          <w:sz w:val="18"/>
        </w:rPr>
        <w:t xml:space="preserve"> to this Confirmation as of the Trade Date and as of the date of this Confirmation and in the case of the representations given for purposes of Section 3(f) of the ISDA Agreement (which representations are set forth in Section I(b) of </w:t>
      </w:r>
      <w:r>
        <w:rPr>
          <w:sz w:val="18"/>
          <w:u w:val="single"/>
        </w:rPr>
        <w:t>Annex A</w:t>
      </w:r>
      <w:r>
        <w:rPr>
          <w:sz w:val="18"/>
        </w:rPr>
        <w:t xml:space="preserve">), at all times until termination of the Transaction. </w:t>
      </w:r>
    </w:p>
    <w:p>
      <w:pPr>
        <w:pStyle w:val="Normal"/>
        <w:jc w:val="both"/>
        <w:rPr>
          <w:sz w:val="18"/>
        </w:rPr>
      </w:pPr>
      <w:r>
        <w:rPr>
          <w:sz w:val="18"/>
        </w:rPr>
      </w:r>
    </w:p>
    <w:p>
      <w:pPr>
        <w:pStyle w:val="Normal"/>
        <w:tabs>
          <w:tab w:val="clear" w:pos="720"/>
          <w:tab w:val="left" w:pos="360" w:leader="none"/>
        </w:tabs>
        <w:jc w:val="both"/>
        <w:rPr/>
      </w:pPr>
      <w:r>
        <w:rPr>
          <w:sz w:val="18"/>
        </w:rPr>
        <w:t>6.</w:t>
        <w:tab/>
        <w:t xml:space="preserve">   </w:t>
        <w:tab/>
      </w:r>
      <w:r>
        <w:rPr>
          <w:b/>
          <w:sz w:val="18"/>
          <w:u w:val="single"/>
        </w:rPr>
        <w:t>Early Termination</w:t>
      </w:r>
      <w:r>
        <w:rPr>
          <w:b/>
          <w:sz w:val="18"/>
        </w:rPr>
        <w:t>.</w:t>
      </w:r>
      <w:r>
        <w:rPr>
          <w:sz w:val="18"/>
        </w:rPr>
        <w:t xml:space="preserve">  For purposes of Section 6(e) of the ISDA Agreement, the Second Method and Loss shall apply.</w:t>
      </w:r>
    </w:p>
    <w:p>
      <w:pPr>
        <w:pStyle w:val="Normal"/>
        <w:jc w:val="both"/>
        <w:rPr>
          <w:sz w:val="18"/>
        </w:rPr>
      </w:pPr>
      <w:r>
        <w:rPr>
          <w:sz w:val="18"/>
        </w:rPr>
      </w:r>
    </w:p>
    <w:p>
      <w:pPr>
        <w:pStyle w:val="Normal"/>
        <w:jc w:val="both"/>
        <w:rPr/>
      </w:pPr>
      <w:r>
        <w:rPr>
          <w:sz w:val="18"/>
        </w:rPr>
        <w:t>7.</w:t>
        <w:tab/>
      </w:r>
      <w:r>
        <w:rPr>
          <w:b/>
          <w:sz w:val="18"/>
          <w:u w:val="single"/>
        </w:rPr>
        <w:t>Governing Law/Jurisdiction</w:t>
      </w:r>
      <w:r>
        <w:rPr>
          <w:b/>
          <w:sz w:val="18"/>
        </w:rPr>
        <w:t>.</w:t>
      </w:r>
      <w:r>
        <w:rPr>
          <w:sz w:val="18"/>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18"/>
        </w:rPr>
      </w:pPr>
      <w:r>
        <w:rPr>
          <w:sz w:val="18"/>
        </w:rPr>
      </w:r>
    </w:p>
    <w:p>
      <w:pPr>
        <w:pStyle w:val="Normal"/>
        <w:jc w:val="both"/>
        <w:rPr/>
      </w:pPr>
      <w:r>
        <w:rPr>
          <w:sz w:val="18"/>
        </w:rPr>
        <w:t>8.</w:t>
        <w:tab/>
      </w:r>
      <w:r>
        <w:rPr>
          <w:b/>
          <w:sz w:val="18"/>
          <w:u w:val="single"/>
        </w:rPr>
        <w:t>Confidentiality</w:t>
      </w:r>
      <w:r>
        <w:rPr>
          <w:b/>
          <w:sz w:val="18"/>
        </w:rPr>
        <w:t>.</w:t>
      </w:r>
      <w:r>
        <w:rPr>
          <w:sz w:val="18"/>
        </w:rPr>
        <w:t xml:space="preserve">  The contents of this Confirmation,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the disclosing party’s and its Affiliates’ auditors, attorneys, lenders or advisors which are required to keep the information that is disclosed in confidence.</w:t>
      </w:r>
    </w:p>
    <w:p>
      <w:pPr>
        <w:pStyle w:val="Normal"/>
        <w:jc w:val="both"/>
        <w:rPr>
          <w:sz w:val="18"/>
        </w:rPr>
      </w:pPr>
      <w:r>
        <w:rPr>
          <w:sz w:val="18"/>
        </w:rPr>
      </w:r>
    </w:p>
    <w:p>
      <w:pPr>
        <w:pStyle w:val="Normal"/>
        <w:jc w:val="both"/>
        <w:rPr/>
      </w:pPr>
      <w:r>
        <w:rPr>
          <w:sz w:val="18"/>
        </w:rPr>
        <w:t>9.</w:t>
        <w:tab/>
      </w:r>
      <w:r>
        <w:rPr>
          <w:b/>
          <w:sz w:val="18"/>
          <w:u w:val="single"/>
        </w:rPr>
        <w:t>Calculation Agent</w:t>
      </w:r>
      <w:r>
        <w:rPr>
          <w:b/>
          <w:sz w:val="18"/>
        </w:rPr>
        <w:t>.</w:t>
      </w:r>
      <w:r>
        <w:rPr>
          <w:sz w:val="18"/>
        </w:rPr>
        <w:t xml:space="preserve">  The Calculation Agent shall be ENA.</w:t>
      </w:r>
    </w:p>
    <w:p>
      <w:pPr>
        <w:pStyle w:val="Normal"/>
        <w:jc w:val="both"/>
        <w:rPr>
          <w:sz w:val="18"/>
        </w:rPr>
      </w:pPr>
      <w:r>
        <w:rPr>
          <w:sz w:val="18"/>
        </w:rPr>
      </w:r>
    </w:p>
    <w:p>
      <w:pPr>
        <w:pStyle w:val="Normal"/>
        <w:tabs>
          <w:tab w:val="clear" w:pos="720"/>
          <w:tab w:val="left" w:pos="810" w:leader="none"/>
          <w:tab w:val="left" w:pos="1170" w:leader="none"/>
        </w:tabs>
        <w:jc w:val="both"/>
        <w:rPr/>
      </w:pPr>
      <w:r>
        <w:rPr>
          <w:sz w:val="18"/>
        </w:rPr>
        <w:t xml:space="preserve">10.           </w:t>
      </w:r>
      <w:r>
        <w:rPr>
          <w:b/>
          <w:sz w:val="18"/>
          <w:u w:val="single"/>
        </w:rPr>
        <w:t>Limitation of Liability</w:t>
      </w:r>
      <w:r>
        <w:rPr>
          <w:b/>
          <w:sz w:val="18"/>
        </w:rPr>
        <w:t xml:space="preserve">. </w:t>
      </w:r>
      <w:r>
        <w:rPr>
          <w:sz w:val="18"/>
        </w:rPr>
        <w:t xml:space="preserve">  </w:t>
      </w:r>
      <w:r>
        <w:rPr>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or the isda agreement is deemed to constitute liquidated damages, the parties acknowledge and agree that damages are difficult or impossible to determine and that such payment constitutes a reasonable approximation of the amount of such damages, and not a penalty. </w:t>
      </w:r>
      <w:r>
        <w:rPr>
          <w:sz w:val="18"/>
        </w:rPr>
        <w:t xml:space="preserve"> </w:t>
      </w:r>
    </w:p>
    <w:p>
      <w:pPr>
        <w:pStyle w:val="Normal"/>
        <w:rPr>
          <w:sz w:val="18"/>
        </w:rPr>
      </w:pPr>
      <w:r>
        <w:rPr>
          <w:sz w:val="18"/>
        </w:rPr>
      </w:r>
    </w:p>
    <w:p>
      <w:pPr>
        <w:pStyle w:val="Normal"/>
        <w:jc w:val="both"/>
        <w:rPr/>
      </w:pPr>
      <w:r>
        <w:rPr>
          <w:sz w:val="18"/>
        </w:rPr>
        <w:t>11.</w:t>
        <w:tab/>
      </w:r>
      <w:r>
        <w:rPr>
          <w:b/>
          <w:sz w:val="18"/>
          <w:u w:val="single"/>
        </w:rPr>
        <w:t>Setoff</w:t>
      </w:r>
      <w:r>
        <w:rPr>
          <w:b/>
          <w:sz w:val="18"/>
        </w:rPr>
        <w:t>.</w:t>
      </w:r>
      <w:r>
        <w:rPr>
          <w:sz w:val="18"/>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18"/>
        </w:rPr>
      </w:pPr>
      <w:r>
        <w:rPr>
          <w:sz w:val="18"/>
        </w:rPr>
      </w:r>
    </w:p>
    <w:p>
      <w:pPr>
        <w:pStyle w:val="Normal"/>
        <w:ind w:firstLine="720" w:end="0"/>
        <w:jc w:val="both"/>
        <w:rPr>
          <w:sz w:val="18"/>
        </w:rPr>
      </w:pPr>
      <w:r>
        <w:rPr>
          <w:sz w:val="18"/>
        </w:rPr>
        <w:t>(b)  Notwithstanding any provision to the contrary contained in this Confirmation and the ISDA Agreement, the Non-defaulting Party or non-Affected Party, as the case may be, shall not be required to pay to the Defaulting Party or Affected Party any amount under Section 6(e) of this Confirmation and the ISDA Agreement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18"/>
        </w:rPr>
      </w:pPr>
      <w:r>
        <w:rPr>
          <w:sz w:val="18"/>
        </w:rPr>
      </w:r>
    </w:p>
    <w:p>
      <w:pPr>
        <w:pStyle w:val="Normal"/>
        <w:numPr>
          <w:ilvl w:val="0"/>
          <w:numId w:val="5"/>
        </w:numPr>
        <w:jc w:val="both"/>
        <w:rPr>
          <w:b/>
          <w:sz w:val="18"/>
        </w:rPr>
      </w:pPr>
      <w:r>
        <w:rPr>
          <w:b/>
          <w:sz w:val="18"/>
          <w:u w:val="single"/>
        </w:rPr>
        <w:t>Miscellaneous</w:t>
      </w:r>
      <w:r>
        <w:rPr>
          <w:b/>
          <w:sz w:val="18"/>
        </w:rPr>
        <w:t>.</w:t>
      </w:r>
    </w:p>
    <w:p>
      <w:pPr>
        <w:pStyle w:val="Normal"/>
        <w:jc w:val="both"/>
        <w:rPr>
          <w:b/>
          <w:sz w:val="18"/>
          <w:u w:val="single"/>
        </w:rPr>
      </w:pPr>
      <w:r>
        <w:rPr>
          <w:b/>
          <w:sz w:val="18"/>
          <w:u w:val="single"/>
        </w:rPr>
      </w:r>
    </w:p>
    <w:p>
      <w:pPr>
        <w:pStyle w:val="Normal"/>
        <w:jc w:val="both"/>
        <w:rPr/>
      </w:pPr>
      <w:r>
        <w:rPr>
          <w:sz w:val="18"/>
        </w:rPr>
        <w:t>a)</w:t>
      </w:r>
      <w:r>
        <w:rPr>
          <w:b/>
          <w:sz w:val="18"/>
        </w:rPr>
        <w:t xml:space="preserve"> </w:t>
      </w:r>
      <w:r>
        <w:rPr>
          <w:b/>
          <w:sz w:val="18"/>
          <w:u w:val="single"/>
        </w:rPr>
        <w:t>Additional Representations.</w:t>
      </w:r>
      <w:r>
        <w:rPr>
          <w:sz w:val="18"/>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sz w:val="18"/>
        </w:rPr>
      </w:pPr>
      <w:r>
        <w:rPr>
          <w:sz w:val="18"/>
        </w:rPr>
      </w:r>
    </w:p>
    <w:p>
      <w:pPr>
        <w:pStyle w:val="Normal"/>
        <w:numPr>
          <w:ilvl w:val="0"/>
          <w:numId w:val="4"/>
        </w:numPr>
        <w:jc w:val="both"/>
        <w:rPr>
          <w:sz w:val="18"/>
        </w:rPr>
      </w:pPr>
      <w:r>
        <w:rPr>
          <w:sz w:val="18"/>
        </w:rPr>
        <w:t xml:space="preserve">entering into this Confirmation and the Transaction hereunder do not violate any legal investment laws directly or indirectly applicable to Counterparty; </w:t>
      </w:r>
    </w:p>
    <w:p>
      <w:pPr>
        <w:pStyle w:val="Normal"/>
        <w:numPr>
          <w:ilvl w:val="0"/>
          <w:numId w:val="4"/>
        </w:numPr>
        <w:jc w:val="both"/>
        <w:rPr>
          <w:sz w:val="18"/>
        </w:rPr>
      </w:pPr>
      <w:r>
        <w:rPr>
          <w:sz w:val="18"/>
        </w:rPr>
        <w:t>entering into this Confirmation and the Transaction hereunder is consistent with Counterparty’s investment guidelines, including any derivatives policy;</w:t>
      </w:r>
    </w:p>
    <w:p>
      <w:pPr>
        <w:pStyle w:val="Normal"/>
        <w:numPr>
          <w:ilvl w:val="0"/>
          <w:numId w:val="4"/>
        </w:numPr>
        <w:jc w:val="both"/>
        <w:rPr>
          <w:sz w:val="18"/>
        </w:rPr>
      </w:pPr>
      <w:r>
        <w:rPr>
          <w:sz w:val="18"/>
        </w:rPr>
        <w:t xml:space="preserve">it has taken all requisite actions to comply with any insurance laws, regulations and rules applicable to such derivatives transactions; and </w:t>
      </w:r>
    </w:p>
    <w:p>
      <w:pPr>
        <w:pStyle w:val="Normal"/>
        <w:numPr>
          <w:ilvl w:val="0"/>
          <w:numId w:val="4"/>
        </w:numPr>
        <w:jc w:val="both"/>
        <w:rPr>
          <w:sz w:val="18"/>
        </w:rPr>
      </w:pPr>
      <w:r>
        <w:rPr>
          <w:sz w:val="18"/>
        </w:rPr>
        <w:t xml:space="preserve">this Confirmation and the Transaction hereunder has been and will be, entered into not for the purpose of speculation but solely in connection with the financing activities of Counterparty. </w:t>
      </w:r>
    </w:p>
    <w:p>
      <w:pPr>
        <w:pStyle w:val="Normal"/>
        <w:rPr>
          <w:sz w:val="18"/>
        </w:rPr>
      </w:pPr>
      <w:r>
        <w:rPr>
          <w:sz w:val="18"/>
        </w:rPr>
      </w:r>
    </w:p>
    <w:p>
      <w:pPr>
        <w:pStyle w:val="Normal"/>
        <w:rPr/>
      </w:pPr>
      <w:r>
        <w:rPr>
          <w:sz w:val="18"/>
        </w:rPr>
        <w:t xml:space="preserve">b) </w:t>
      </w:r>
      <w:r>
        <w:rPr>
          <w:b/>
          <w:sz w:val="18"/>
          <w:u w:val="single"/>
        </w:rPr>
        <w:t>Legal Opinion.</w:t>
      </w:r>
      <w:r>
        <w:rPr>
          <w:sz w:val="18"/>
        </w:rPr>
        <w:t xml:space="preserve"> For the purpose of Section 4(a) of the ISDA Agreement, upon execution of this Confirmation, Counterparty agrees to deliver to ENA a Legal Opinion in form and substance satisfactory to ENA, attached hereto as Exhibit 1.</w:t>
      </w:r>
    </w:p>
    <w:p>
      <w:pPr>
        <w:pStyle w:val="Normal"/>
        <w:jc w:val="both"/>
        <w:rPr>
          <w:sz w:val="18"/>
        </w:rPr>
      </w:pPr>
      <w:r>
        <w:rPr>
          <w:sz w:val="18"/>
        </w:rPr>
      </w:r>
    </w:p>
    <w:p>
      <w:pPr>
        <w:pStyle w:val="Normal"/>
        <w:jc w:val="both"/>
        <w:rPr/>
      </w:pPr>
      <w:r>
        <w:rPr>
          <w:sz w:val="18"/>
        </w:rPr>
        <w:t>c)</w:t>
      </w:r>
      <w:r>
        <w:rPr>
          <w:b/>
          <w:sz w:val="18"/>
        </w:rPr>
        <w:t xml:space="preserve"> </w:t>
      </w:r>
      <w:r>
        <w:rPr>
          <w:b/>
          <w:sz w:val="18"/>
          <w:u w:val="single"/>
        </w:rPr>
        <w:t>Authorization.</w:t>
      </w:r>
      <w:r>
        <w:rPr>
          <w:sz w:val="18"/>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articles of incorporation and bylaws (or other constituent documents).</w:t>
      </w:r>
    </w:p>
    <w:p>
      <w:pPr>
        <w:pStyle w:val="Normal"/>
        <w:jc w:val="both"/>
        <w:rPr>
          <w:sz w:val="18"/>
        </w:rPr>
      </w:pPr>
      <w:r>
        <w:rPr>
          <w:sz w:val="18"/>
        </w:rPr>
      </w:r>
    </w:p>
    <w:p>
      <w:pPr>
        <w:pStyle w:val="Normal"/>
        <w:rPr>
          <w:sz w:val="18"/>
        </w:rPr>
      </w:pPr>
      <w:r>
        <w:rPr>
          <w:sz w:val="18"/>
        </w:rPr>
        <w:t>13.</w:t>
        <w:tab/>
      </w:r>
      <w:r>
        <w:rPr>
          <w:b/>
          <w:sz w:val="18"/>
          <w:u w:val="single"/>
        </w:rPr>
        <w:t>Offices</w:t>
      </w:r>
      <w:r>
        <w:rPr>
          <w:b/>
          <w:sz w:val="18"/>
        </w:rPr>
        <w:t>.</w:t>
      </w:r>
    </w:p>
    <w:p>
      <w:pPr>
        <w:pStyle w:val="Normal"/>
        <w:keepNext w:val="true"/>
        <w:rPr>
          <w:sz w:val="18"/>
        </w:rPr>
      </w:pPr>
      <w:r>
        <w:rPr>
          <w:sz w:val="18"/>
        </w:rPr>
      </w:r>
    </w:p>
    <w:p>
      <w:pPr>
        <w:pStyle w:val="Normal"/>
        <w:keepNext w:val="true"/>
        <w:jc w:val="both"/>
        <w:rPr>
          <w:sz w:val="18"/>
        </w:rPr>
      </w:pPr>
      <w:r>
        <w:rPr>
          <w:sz w:val="18"/>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18"/>
        </w:rPr>
      </w:pPr>
      <w:r>
        <w:rPr>
          <w:sz w:val="18"/>
        </w:rPr>
      </w:r>
    </w:p>
    <w:p>
      <w:pPr>
        <w:pStyle w:val="Normal"/>
        <w:jc w:val="both"/>
        <w:rPr>
          <w:sz w:val="18"/>
        </w:rPr>
      </w:pPr>
      <w:r>
        <w:rPr>
          <w:sz w:val="18"/>
        </w:rPr>
        <w:tab/>
        <w:t>(b)</w:t>
        <w:tab/>
        <w:t>The office of Counterparty is and copies of any notices should be delivered to: ______________________________________________________________________________________________________________________________________, Facsimile No. _______________________.</w:t>
      </w:r>
    </w:p>
    <w:p>
      <w:pPr>
        <w:pStyle w:val="Normal"/>
        <w:jc w:val="both"/>
        <w:rPr>
          <w:sz w:val="18"/>
        </w:rPr>
      </w:pPr>
      <w:r>
        <w:rPr>
          <w:sz w:val="18"/>
        </w:rPr>
      </w:r>
    </w:p>
    <w:p>
      <w:pPr>
        <w:pStyle w:val="Normal"/>
        <w:keepNext w:val="true"/>
        <w:jc w:val="both"/>
        <w:rPr>
          <w:sz w:val="18"/>
        </w:rPr>
      </w:pPr>
      <w:r>
        <w:rPr>
          <w:sz w:val="18"/>
        </w:rPr>
      </w:r>
    </w:p>
    <w:p>
      <w:pPr>
        <w:pStyle w:val="Normal"/>
        <w:jc w:val="both"/>
        <w:rPr>
          <w:sz w:val="18"/>
        </w:rPr>
      </w:pPr>
      <w:r>
        <w:rPr>
          <w:sz w:val="18"/>
        </w:rPr>
      </w:r>
    </w:p>
    <w:p>
      <w:pPr>
        <w:pStyle w:val="Normal"/>
        <w:jc w:val="both"/>
        <w:rPr>
          <w:sz w:val="18"/>
        </w:rPr>
      </w:pPr>
      <w:r>
        <w:rPr>
          <w:sz w:val="18"/>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18"/>
        </w:rPr>
      </w:pPr>
      <w:r>
        <w:rPr>
          <w:sz w:val="18"/>
        </w:rPr>
      </w:r>
    </w:p>
    <w:p>
      <w:pPr>
        <w:pStyle w:val="Normal"/>
        <w:jc w:val="both"/>
        <w:rPr>
          <w:sz w:val="18"/>
        </w:rPr>
      </w:pPr>
      <w:r>
        <w:rPr>
          <w:sz w:val="18"/>
        </w:rPr>
        <w:t>Enron North America Corp. is pleased to have entered into this Transaction with you.</w:t>
      </w:r>
    </w:p>
    <w:p>
      <w:pPr>
        <w:pStyle w:val="Normal"/>
        <w:rPr>
          <w:sz w:val="18"/>
        </w:rPr>
      </w:pPr>
      <w:r>
        <w:rPr>
          <w:sz w:val="18"/>
        </w:rPr>
      </w:r>
    </w:p>
    <w:p>
      <w:pPr>
        <w:pStyle w:val="Normal"/>
        <w:keepNext w:val="true"/>
        <w:rPr>
          <w:sz w:val="18"/>
        </w:rPr>
      </w:pPr>
      <w:r>
        <w:rPr>
          <w:sz w:val="18"/>
        </w:rPr>
        <w:t>Yours sincerely,</w:t>
      </w:r>
    </w:p>
    <w:p>
      <w:pPr>
        <w:pStyle w:val="Normal"/>
        <w:keepNext w:val="true"/>
        <w:rPr>
          <w:sz w:val="18"/>
        </w:rPr>
      </w:pPr>
      <w:r>
        <w:rPr>
          <w:sz w:val="18"/>
        </w:rPr>
      </w:r>
    </w:p>
    <w:p>
      <w:pPr>
        <w:pStyle w:val="Normal"/>
        <w:keepNext w:val="true"/>
        <w:rPr>
          <w:b/>
          <w:sz w:val="18"/>
        </w:rPr>
      </w:pPr>
      <w:r>
        <w:rPr>
          <w:b/>
          <w:sz w:val="18"/>
        </w:rPr>
        <w:t>ENRON NORTH AMERICA CORP.</w:t>
      </w:r>
    </w:p>
    <w:p>
      <w:pPr>
        <w:pStyle w:val="Normal"/>
        <w:keepNext w:val="true"/>
        <w:rPr>
          <w:b/>
          <w:sz w:val="18"/>
        </w:rPr>
      </w:pPr>
      <w:r>
        <w:rPr>
          <w:b/>
          <w:sz w:val="18"/>
        </w:rPr>
      </w:r>
    </w:p>
    <w:p>
      <w:pPr>
        <w:pStyle w:val="Normal"/>
        <w:keepNext w:val="true"/>
        <w:rPr>
          <w:sz w:val="18"/>
        </w:rPr>
      </w:pPr>
      <w:r>
        <w:rPr>
          <w:sz w:val="18"/>
        </w:rPr>
        <w:t>By:</w:t>
        <w:tab/>
        <w:t>_____________________________</w:t>
      </w:r>
    </w:p>
    <w:p>
      <w:pPr>
        <w:pStyle w:val="Normal"/>
        <w:keepNext w:val="true"/>
        <w:rPr>
          <w:sz w:val="18"/>
        </w:rPr>
      </w:pPr>
      <w:r>
        <w:rPr>
          <w:sz w:val="18"/>
        </w:rPr>
        <w:t>Name:</w:t>
        <w:tab/>
        <w:t>_____________________________</w:t>
      </w:r>
    </w:p>
    <w:p>
      <w:pPr>
        <w:pStyle w:val="Normal"/>
        <w:keepNext w:val="true"/>
        <w:rPr>
          <w:sz w:val="18"/>
        </w:rPr>
      </w:pPr>
      <w:r>
        <w:rPr>
          <w:sz w:val="18"/>
        </w:rPr>
        <w:t>Title:</w:t>
        <w:tab/>
        <w:t>_____________________________</w:t>
      </w:r>
    </w:p>
    <w:p>
      <w:pPr>
        <w:pStyle w:val="Normal"/>
        <w:keepNext w:val="true"/>
        <w:rPr>
          <w:sz w:val="18"/>
        </w:rPr>
      </w:pPr>
      <w:r>
        <w:rPr>
          <w:sz w:val="18"/>
        </w:rPr>
      </w:r>
    </w:p>
    <w:p>
      <w:pPr>
        <w:pStyle w:val="Normal"/>
        <w:keepNext w:val="true"/>
        <w:rPr>
          <w:sz w:val="18"/>
        </w:rPr>
      </w:pPr>
      <w:r>
        <w:rPr>
          <w:sz w:val="18"/>
        </w:rPr>
        <w:t>Confirmed as of the Trade Date:</w:t>
      </w:r>
    </w:p>
    <w:p>
      <w:pPr>
        <w:pStyle w:val="Normal"/>
        <w:keepNext w:val="true"/>
        <w:rPr>
          <w:sz w:val="18"/>
        </w:rPr>
      </w:pPr>
      <w:r>
        <w:rPr>
          <w:sz w:val="18"/>
        </w:rPr>
      </w:r>
    </w:p>
    <w:p>
      <w:pPr>
        <w:pStyle w:val="Normal"/>
        <w:keepNext w:val="true"/>
        <w:rPr>
          <w:sz w:val="18"/>
        </w:rPr>
      </w:pPr>
      <w:r>
        <w:rPr>
          <w:b/>
          <w:sz w:val="18"/>
        </w:rPr>
        <w:t>[COUNTERPARTY NAME]</w:t>
      </w:r>
    </w:p>
    <w:p>
      <w:pPr>
        <w:pStyle w:val="Normal"/>
        <w:keepNext w:val="true"/>
        <w:rPr>
          <w:sz w:val="18"/>
        </w:rPr>
      </w:pPr>
      <w:r>
        <w:rPr>
          <w:sz w:val="18"/>
        </w:rPr>
      </w:r>
    </w:p>
    <w:p>
      <w:pPr>
        <w:pStyle w:val="Normal"/>
        <w:keepNext w:val="true"/>
        <w:rPr>
          <w:sz w:val="18"/>
        </w:rPr>
      </w:pPr>
      <w:r>
        <w:rPr>
          <w:sz w:val="18"/>
        </w:rPr>
        <w:t>By:</w:t>
        <w:tab/>
        <w:t>_____________________________</w:t>
      </w:r>
    </w:p>
    <w:p>
      <w:pPr>
        <w:pStyle w:val="Normal"/>
        <w:keepNext w:val="true"/>
        <w:rPr>
          <w:sz w:val="18"/>
        </w:rPr>
      </w:pPr>
      <w:r>
        <w:rPr>
          <w:sz w:val="18"/>
        </w:rPr>
        <w:t>Name:</w:t>
        <w:tab/>
        <w:t>_____________________________</w:t>
      </w:r>
    </w:p>
    <w:p>
      <w:pPr>
        <w:sectPr>
          <w:footerReference w:type="default" r:id="rId3"/>
          <w:type w:val="nextPage"/>
          <w:pgSz w:w="12240" w:h="15840"/>
          <w:pgMar w:left="1440" w:right="1440" w:gutter="0" w:header="0" w:top="1440" w:footer="720" w:bottom="1440"/>
          <w:pgNumType w:start="1" w:fmt="decimal"/>
          <w:formProt w:val="false"/>
          <w:textDirection w:val="lrTb"/>
          <w:docGrid w:type="default" w:linePitch="360" w:charSpace="0"/>
        </w:sectPr>
        <w:pStyle w:val="Normal"/>
        <w:keepNext w:val="true"/>
        <w:rPr>
          <w:sz w:val="18"/>
        </w:rPr>
      </w:pPr>
      <w:r>
        <w:rPr>
          <w:sz w:val="18"/>
        </w:rPr>
        <w:t>Title:</w:t>
        <w:tab/>
        <w:t>_____________________________</w:t>
      </w:r>
    </w:p>
    <w:p>
      <w:pPr>
        <w:pStyle w:val="Normal"/>
        <w:keepNext w:val="true"/>
        <w:jc w:val="center"/>
        <w:rPr>
          <w:b/>
          <w:color w:val="000000"/>
          <w:sz w:val="18"/>
          <w:u w:val="single"/>
        </w:rPr>
      </w:pPr>
      <w:r>
        <w:rPr>
          <w:b/>
          <w:color w:val="000000"/>
          <w:sz w:val="18"/>
          <w:u w:val="single"/>
        </w:rPr>
        <w:t>EXHIBIT 1</w:t>
      </w:r>
    </w:p>
    <w:p>
      <w:pPr>
        <w:pStyle w:val="Normal"/>
        <w:jc w:val="end"/>
        <w:rPr>
          <w:b/>
          <w:color w:val="000000"/>
          <w:sz w:val="18"/>
          <w:u w:val="single"/>
        </w:rPr>
      </w:pPr>
      <w:r>
        <w:rPr>
          <w:b/>
          <w:color w:val="000000"/>
          <w:sz w:val="18"/>
          <w:u w:val="single"/>
        </w:rPr>
      </w:r>
    </w:p>
    <w:p>
      <w:pPr>
        <w:pStyle w:val="Normal"/>
        <w:jc w:val="center"/>
        <w:rPr>
          <w:sz w:val="18"/>
        </w:rPr>
      </w:pPr>
      <w:r>
        <w:rPr>
          <w:sz w:val="18"/>
        </w:rPr>
        <w:t>[Letterhead of</w:t>
      </w:r>
    </w:p>
    <w:p>
      <w:pPr>
        <w:pStyle w:val="Normal"/>
        <w:jc w:val="center"/>
        <w:rPr>
          <w:sz w:val="18"/>
        </w:rPr>
      </w:pPr>
      <w:r>
        <w:rPr>
          <w:sz w:val="18"/>
        </w:rPr>
        <w:t>Counsel to Counterparty]</w:t>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t>[Date]</w:t>
      </w:r>
    </w:p>
    <w:p>
      <w:pPr>
        <w:pStyle w:val="Normal"/>
        <w:jc w:val="center"/>
        <w:rPr>
          <w:sz w:val="18"/>
        </w:rPr>
      </w:pPr>
      <w:r>
        <w:rPr>
          <w:sz w:val="18"/>
        </w:rPr>
      </w:r>
    </w:p>
    <w:p>
      <w:pPr>
        <w:pStyle w:val="Normal"/>
        <w:rPr>
          <w:sz w:val="18"/>
        </w:rPr>
      </w:pPr>
      <w:r>
        <w:rPr>
          <w:sz w:val="18"/>
        </w:rPr>
        <w:t>Enron North America Corp.</w:t>
      </w:r>
    </w:p>
    <w:p>
      <w:pPr>
        <w:pStyle w:val="Normal"/>
        <w:rPr>
          <w:sz w:val="18"/>
        </w:rPr>
      </w:pPr>
      <w:r>
        <w:rPr>
          <w:sz w:val="18"/>
        </w:rPr>
        <w:t>1400 Smith Street</w:t>
      </w:r>
    </w:p>
    <w:p>
      <w:pPr>
        <w:pStyle w:val="Normal"/>
        <w:rPr>
          <w:sz w:val="18"/>
        </w:rPr>
      </w:pPr>
      <w:r>
        <w:rPr>
          <w:sz w:val="18"/>
        </w:rPr>
        <w:t>Houston, Texas  77002</w:t>
      </w:r>
    </w:p>
    <w:p>
      <w:pPr>
        <w:pStyle w:val="Normal"/>
        <w:rPr>
          <w:sz w:val="18"/>
        </w:rPr>
      </w:pPr>
      <w:r>
        <w:rPr>
          <w:sz w:val="18"/>
        </w:rPr>
      </w:r>
    </w:p>
    <w:p>
      <w:pPr>
        <w:pStyle w:val="Normal"/>
        <w:rPr>
          <w:sz w:val="18"/>
        </w:rPr>
      </w:pPr>
      <w:r>
        <w:rPr>
          <w:sz w:val="18"/>
        </w:rPr>
        <w:t>Dear Sir or Madam:</w:t>
      </w:r>
    </w:p>
    <w:p>
      <w:pPr>
        <w:pStyle w:val="Normal"/>
        <w:rPr>
          <w:sz w:val="18"/>
        </w:rPr>
      </w:pPr>
      <w:r>
        <w:rPr>
          <w:sz w:val="18"/>
        </w:rPr>
      </w:r>
    </w:p>
    <w:p>
      <w:pPr>
        <w:pStyle w:val="Normal"/>
        <w:ind w:firstLine="1440" w:end="0"/>
        <w:jc w:val="both"/>
        <w:rPr>
          <w:sz w:val="18"/>
        </w:rPr>
      </w:pPr>
      <w:r>
        <w:rPr>
          <w:sz w:val="18"/>
        </w:rPr>
        <w:t>We have acted as counsel to _________________________________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18"/>
        </w:rPr>
      </w:pPr>
      <w:r>
        <w:rPr>
          <w:sz w:val="18"/>
        </w:rPr>
      </w:r>
    </w:p>
    <w:p>
      <w:pPr>
        <w:pStyle w:val="Normal"/>
        <w:jc w:val="both"/>
        <w:rPr>
          <w:sz w:val="18"/>
        </w:rPr>
      </w:pPr>
      <w:r>
        <w:rPr>
          <w:sz w:val="18"/>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sz w:val="18"/>
        </w:rPr>
      </w:pPr>
      <w:r>
        <w:rPr>
          <w:sz w:val="18"/>
        </w:rPr>
      </w:r>
    </w:p>
    <w:p>
      <w:pPr>
        <w:pStyle w:val="Normal"/>
        <w:jc w:val="both"/>
        <w:rPr>
          <w:sz w:val="18"/>
        </w:rPr>
      </w:pPr>
      <w:r>
        <w:rPr>
          <w:sz w:val="18"/>
        </w:rPr>
        <w:tab/>
        <w:tab/>
        <w:t>Based upon the foregoing and having regard for such legal considerations as we deem relevant, we are of opinion that:</w:t>
      </w:r>
    </w:p>
    <w:p>
      <w:pPr>
        <w:pStyle w:val="Normal"/>
        <w:jc w:val="both"/>
        <w:rPr>
          <w:sz w:val="18"/>
        </w:rPr>
      </w:pPr>
      <w:r>
        <w:rPr>
          <w:sz w:val="18"/>
        </w:rPr>
      </w:r>
    </w:p>
    <w:p>
      <w:pPr>
        <w:pStyle w:val="Normal"/>
        <w:tabs>
          <w:tab w:val="clear" w:pos="720"/>
          <w:tab w:val="left" w:pos="1440" w:leader="none"/>
        </w:tabs>
        <w:jc w:val="both"/>
        <w:rPr>
          <w:sz w:val="18"/>
        </w:rPr>
      </w:pPr>
      <w:r>
        <w:rPr>
          <w:sz w:val="18"/>
        </w:rPr>
        <w:tab/>
        <w:t>1.  The Counterparty is a [__________________] duly existing under the laws of [________________].</w:t>
      </w:r>
    </w:p>
    <w:p>
      <w:pPr>
        <w:pStyle w:val="Normal"/>
        <w:tabs>
          <w:tab w:val="clear" w:pos="720"/>
          <w:tab w:val="left" w:pos="1440" w:leader="none"/>
        </w:tabs>
        <w:jc w:val="both"/>
        <w:rPr>
          <w:sz w:val="18"/>
        </w:rPr>
      </w:pPr>
      <w:r>
        <w:rPr>
          <w:sz w:val="18"/>
        </w:rPr>
      </w:r>
    </w:p>
    <w:p>
      <w:pPr>
        <w:pStyle w:val="Normal"/>
        <w:tabs>
          <w:tab w:val="clear" w:pos="720"/>
          <w:tab w:val="left" w:pos="1440" w:leader="none"/>
        </w:tabs>
        <w:jc w:val="both"/>
        <w:rPr>
          <w:sz w:val="18"/>
        </w:rPr>
      </w:pPr>
      <w:r>
        <w:rPr>
          <w:sz w:val="18"/>
        </w:rPr>
        <w:tab/>
        <w:t>2.  The Counterparty has full corporate power to execute and deliver the Agreement and to perform its obligations thereunder.</w:t>
      </w:r>
    </w:p>
    <w:p>
      <w:pPr>
        <w:pStyle w:val="Normal"/>
        <w:tabs>
          <w:tab w:val="clear" w:pos="720"/>
          <w:tab w:val="left" w:pos="1440" w:leader="none"/>
        </w:tabs>
        <w:jc w:val="both"/>
        <w:rPr>
          <w:sz w:val="18"/>
        </w:rPr>
      </w:pPr>
      <w:r>
        <w:rPr>
          <w:sz w:val="18"/>
        </w:rPr>
      </w:r>
    </w:p>
    <w:p>
      <w:pPr>
        <w:pStyle w:val="Normal"/>
        <w:tabs>
          <w:tab w:val="clear" w:pos="720"/>
          <w:tab w:val="left" w:pos="1440" w:leader="none"/>
        </w:tabs>
        <w:jc w:val="both"/>
        <w:rPr>
          <w:sz w:val="18"/>
        </w:rPr>
      </w:pPr>
      <w:r>
        <w:rPr>
          <w:sz w:val="18"/>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18"/>
        </w:rPr>
      </w:pPr>
      <w:r>
        <w:rPr>
          <w:sz w:val="18"/>
        </w:rPr>
      </w:r>
    </w:p>
    <w:p>
      <w:pPr>
        <w:pStyle w:val="Normal"/>
        <w:tabs>
          <w:tab w:val="clear" w:pos="720"/>
          <w:tab w:val="left" w:pos="1440" w:leader="none"/>
        </w:tabs>
        <w:jc w:val="both"/>
        <w:rPr>
          <w:sz w:val="18"/>
        </w:rPr>
      </w:pPr>
      <w:r>
        <w:rPr>
          <w:sz w:val="18"/>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18"/>
        </w:rPr>
      </w:pPr>
      <w:r>
        <w:rPr>
          <w:sz w:val="18"/>
        </w:rPr>
      </w:r>
    </w:p>
    <w:p>
      <w:pPr>
        <w:pStyle w:val="Normal"/>
        <w:tabs>
          <w:tab w:val="clear" w:pos="720"/>
          <w:tab w:val="left" w:pos="1440" w:leader="none"/>
        </w:tabs>
        <w:jc w:val="both"/>
        <w:rPr>
          <w:sz w:val="18"/>
        </w:rPr>
      </w:pPr>
      <w:r>
        <w:rPr>
          <w:sz w:val="18"/>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18"/>
        </w:rPr>
      </w:pPr>
      <w:r>
        <w:rPr>
          <w:sz w:val="18"/>
        </w:rPr>
      </w:r>
    </w:p>
    <w:p>
      <w:pPr>
        <w:pStyle w:val="Normal"/>
        <w:tabs>
          <w:tab w:val="clear" w:pos="720"/>
          <w:tab w:val="left" w:pos="1440" w:leader="none"/>
        </w:tabs>
        <w:jc w:val="both"/>
        <w:rPr>
          <w:sz w:val="18"/>
        </w:rPr>
      </w:pPr>
      <w:r>
        <w:rPr>
          <w:sz w:val="18"/>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18"/>
        </w:rPr>
      </w:pPr>
      <w:r>
        <w:rPr>
          <w:sz w:val="18"/>
        </w:rPr>
      </w:r>
    </w:p>
    <w:p>
      <w:pPr>
        <w:pStyle w:val="Normal"/>
        <w:keepNext w:val="true"/>
        <w:jc w:val="end"/>
        <w:rPr>
          <w:sz w:val="18"/>
        </w:rPr>
      </w:pPr>
      <w:r>
        <w:rPr>
          <w:sz w:val="18"/>
        </w:rPr>
        <w:t>Very truly yours</w:t>
        <w:tab/>
        <w:tab/>
        <w:tab/>
      </w:r>
    </w:p>
    <w:p>
      <w:pPr>
        <w:pStyle w:val="Normal"/>
        <w:keepNext w:val="true"/>
        <w:jc w:val="end"/>
        <w:rPr>
          <w:sz w:val="18"/>
        </w:rPr>
      </w:pPr>
      <w:r>
        <w:rPr>
          <w:sz w:val="18"/>
        </w:rPr>
      </w:r>
    </w:p>
    <w:p>
      <w:pPr>
        <w:sectPr>
          <w:footerReference w:type="default" r:id="rId4"/>
          <w:footerReference w:type="first" r:id="rId5"/>
          <w:type w:val="nextPage"/>
          <w:pgSz w:w="12240" w:h="15840"/>
          <w:pgMar w:left="1440" w:right="1440" w:gutter="0" w:header="0" w:top="1440" w:footer="432" w:bottom="1440"/>
          <w:pgNumType w:start="1" w:fmt="decimal"/>
          <w:formProt w:val="false"/>
          <w:textDirection w:val="lrTb"/>
          <w:docGrid w:type="default" w:linePitch="360" w:charSpace="0"/>
        </w:sectPr>
        <w:pStyle w:val="Normal"/>
        <w:jc w:val="center"/>
        <w:rPr>
          <w:sz w:val="18"/>
        </w:rPr>
      </w:pPr>
      <w:r>
        <w:rPr>
          <w:sz w:val="18"/>
        </w:rPr>
      </w:r>
    </w:p>
    <w:p>
      <w:pPr>
        <w:pStyle w:val="Normal"/>
        <w:keepNext w:val="true"/>
        <w:spacing w:lineRule="exact" w:line="240"/>
        <w:jc w:val="center"/>
        <w:rPr>
          <w:b/>
          <w:sz w:val="18"/>
        </w:rPr>
      </w:pPr>
      <w:r>
        <w:rPr>
          <w:b/>
          <w:sz w:val="18"/>
        </w:rPr>
        <w:t>ANNEX A</w:t>
      </w:r>
    </w:p>
    <w:p>
      <w:pPr>
        <w:pStyle w:val="Normal"/>
        <w:keepNext w:val="true"/>
        <w:jc w:val="center"/>
        <w:rPr>
          <w:b/>
          <w:sz w:val="18"/>
        </w:rPr>
      </w:pPr>
      <w:r>
        <w:rPr>
          <w:b/>
          <w:sz w:val="18"/>
        </w:rPr>
      </w:r>
    </w:p>
    <w:p>
      <w:pPr>
        <w:pStyle w:val="Normal"/>
        <w:keepNext w:val="true"/>
        <w:jc w:val="center"/>
        <w:rPr>
          <w:b/>
          <w:sz w:val="18"/>
        </w:rPr>
      </w:pPr>
      <w:r>
        <w:rPr>
          <w:b/>
          <w:sz w:val="18"/>
        </w:rPr>
        <w:t>U.S. WITHHOLDING TAX</w:t>
      </w:r>
    </w:p>
    <w:p>
      <w:pPr>
        <w:pStyle w:val="Normal"/>
        <w:keepNext w:val="true"/>
        <w:jc w:val="center"/>
        <w:rPr>
          <w:b/>
          <w:sz w:val="18"/>
        </w:rPr>
      </w:pPr>
      <w:r>
        <w:rPr>
          <w:b/>
          <w:sz w:val="18"/>
        </w:rPr>
      </w:r>
    </w:p>
    <w:p>
      <w:pPr>
        <w:pStyle w:val="Normal"/>
        <w:jc w:val="center"/>
        <w:rPr>
          <w:b/>
          <w:sz w:val="18"/>
        </w:rPr>
      </w:pPr>
      <w:r>
        <w:rPr>
          <w:b/>
          <w:sz w:val="18"/>
        </w:rPr>
        <w:t>Party A: Enron North America Corp.</w:t>
      </w:r>
    </w:p>
    <w:p>
      <w:pPr>
        <w:pStyle w:val="Normal"/>
        <w:jc w:val="center"/>
        <w:rPr>
          <w:b/>
          <w:sz w:val="18"/>
        </w:rPr>
      </w:pPr>
      <w:r>
        <w:rPr>
          <w:b/>
          <w:sz w:val="18"/>
        </w:rPr>
        <w:t>Counterparty:  Foreign Counterparty That is (i) Not Eligible</w:t>
      </w:r>
    </w:p>
    <w:p>
      <w:pPr>
        <w:pStyle w:val="Normal"/>
        <w:jc w:val="center"/>
        <w:rPr>
          <w:b/>
          <w:sz w:val="18"/>
        </w:rPr>
      </w:pPr>
      <w:r>
        <w:rPr>
          <w:b/>
          <w:sz w:val="18"/>
        </w:rPr>
        <w:t>For Treaty Benefits and (ii) Will Act Exclusively Through</w:t>
      </w:r>
    </w:p>
    <w:p>
      <w:pPr>
        <w:pStyle w:val="Normal"/>
        <w:jc w:val="center"/>
        <w:rPr>
          <w:b/>
          <w:sz w:val="18"/>
        </w:rPr>
      </w:pPr>
      <w:r>
        <w:rPr>
          <w:b/>
          <w:sz w:val="18"/>
        </w:rPr>
        <w:t>Branches, Offices or Agencies Outside the U.S.</w:t>
      </w:r>
    </w:p>
    <w:p>
      <w:pPr>
        <w:pStyle w:val="Normal"/>
        <w:jc w:val="center"/>
        <w:rPr>
          <w:b/>
          <w:sz w:val="18"/>
        </w:rPr>
      </w:pPr>
      <w:r>
        <w:rPr>
          <w:b/>
          <w:sz w:val="18"/>
        </w:rPr>
      </w:r>
    </w:p>
    <w:p>
      <w:pPr>
        <w:pStyle w:val="Normal"/>
        <w:spacing w:lineRule="exact" w:line="480"/>
        <w:jc w:val="both"/>
        <w:rPr>
          <w:b/>
          <w:sz w:val="18"/>
        </w:rPr>
      </w:pPr>
      <w:r>
        <w:rPr>
          <w:b/>
          <w:sz w:val="18"/>
        </w:rPr>
        <w:t>I.  Tax Representations.</w:t>
      </w:r>
    </w:p>
    <w:p>
      <w:pPr>
        <w:pStyle w:val="Normal"/>
        <w:spacing w:lineRule="exact" w:line="240" w:before="240" w:after="0"/>
        <w:ind w:hanging="720" w:start="720" w:end="0"/>
        <w:jc w:val="both"/>
        <w:rPr/>
      </w:pPr>
      <w:r>
        <w:rPr>
          <w:b/>
          <w:sz w:val="18"/>
        </w:rPr>
        <w:t>(a)</w:t>
        <w:tab/>
        <w:t xml:space="preserve">Payer Representations.  </w:t>
      </w:r>
      <w:r>
        <w:rPr>
          <w:sz w:val="18"/>
        </w:rPr>
        <w:t>For the purpose of Section 3(e) of the ISDA Agreement, ECT and Counterparty make the following representation:</w:t>
      </w:r>
    </w:p>
    <w:p>
      <w:pPr>
        <w:pStyle w:val="Normal"/>
        <w:spacing w:lineRule="exact" w:line="240" w:before="240" w:after="0"/>
        <w:ind w:start="720" w:end="0"/>
        <w:jc w:val="both"/>
        <w:rPr/>
      </w:pPr>
      <w:r>
        <w:rPr>
          <w:sz w:val="18"/>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18"/>
        </w:rPr>
        <w:t>provided</w:t>
      </w:r>
      <w:r>
        <w:rPr>
          <w:sz w:val="18"/>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18"/>
        </w:rPr>
        <w:t>(b)</w:t>
        <w:tab/>
        <w:t>Payee Representations.</w:t>
      </w:r>
      <w:r>
        <w:rPr>
          <w:sz w:val="18"/>
        </w:rPr>
        <w:t xml:space="preserve">  For the purpose of Section 3(f) of the ISDA Agreement, ENA makes no representations, and Counterparty makes the following representations:</w:t>
      </w:r>
    </w:p>
    <w:p>
      <w:pPr>
        <w:pStyle w:val="Normal"/>
        <w:spacing w:lineRule="exact" w:line="240" w:before="240" w:after="0"/>
        <w:ind w:hanging="720" w:start="1440" w:end="0"/>
        <w:jc w:val="both"/>
        <w:rPr>
          <w:sz w:val="18"/>
        </w:rPr>
      </w:pPr>
      <w:r>
        <w:rPr>
          <w:sz w:val="18"/>
        </w:rPr>
        <w:t>(i)</w:t>
        <w:tab/>
        <w:t>Each payment received or to be received by it in connection with this Agreement will not be effectively connected with its conduct of a trade or business in the United States.</w:t>
      </w:r>
    </w:p>
    <w:p>
      <w:pPr>
        <w:pStyle w:val="Heading4"/>
        <w:rPr/>
      </w:pPr>
      <w:r>
        <w:rPr/>
        <w:t>II.</w:t>
        <w:tab/>
        <w:t>Agreement to Deliver Documents</w:t>
      </w:r>
    </w:p>
    <w:p>
      <w:pPr>
        <w:pStyle w:val="Normal"/>
        <w:spacing w:lineRule="exact" w:line="240" w:before="240" w:after="0"/>
        <w:jc w:val="both"/>
        <w:rPr>
          <w:sz w:val="18"/>
        </w:rPr>
      </w:pPr>
      <w:r>
        <w:rPr>
          <w:sz w:val="18"/>
        </w:rPr>
        <w:t>For the purpose of Section 4(a) of the ISDA Agreement, the Tax forms, documents, or certificates to be delivered are:</w:t>
      </w:r>
    </w:p>
    <w:p>
      <w:pPr>
        <w:pStyle w:val="Normal"/>
        <w:spacing w:lineRule="exact" w:line="240" w:before="240" w:after="0"/>
        <w:ind w:hanging="720" w:start="1440" w:end="0"/>
        <w:jc w:val="both"/>
        <w:rPr>
          <w:sz w:val="18"/>
        </w:rPr>
      </w:pPr>
      <w:r>
        <w:rPr>
          <w:sz w:val="18"/>
        </w:rPr>
        <w:t>(a)</w:t>
        <w:tab/>
        <w:t>Counterparty agrees to complete (accurately and in a manner reasonably satisfactory to ENA), execute and deliver to ENA a United States Internal Revenue Form W-8, or any successor form, (i) before the first Scheduled Payment Date under this Agreement, (ii) before December 31st of each second succeeding calendar year, (iii) promptly upon reasonable demand by ENA, and (iv) promptly upon learning that any such form previously provided by Counterparty has become obsolete or incorrect.</w:t>
      </w:r>
    </w:p>
    <w:p>
      <w:pPr>
        <w:pStyle w:val="Normal"/>
        <w:spacing w:lineRule="exact" w:line="240"/>
        <w:jc w:val="both"/>
        <w:rPr>
          <w:b/>
          <w:sz w:val="18"/>
        </w:rPr>
      </w:pPr>
      <w:r>
        <w:rPr>
          <w:b/>
          <w:sz w:val="18"/>
        </w:rPr>
      </w:r>
    </w:p>
    <w:p>
      <w:pPr>
        <w:pStyle w:val="Normal"/>
        <w:numPr>
          <w:ilvl w:val="0"/>
          <w:numId w:val="3"/>
        </w:numPr>
        <w:spacing w:lineRule="exact" w:line="240"/>
        <w:jc w:val="both"/>
        <w:rPr>
          <w:sz w:val="18"/>
        </w:rPr>
      </w:pPr>
      <w:r>
        <w:rPr>
          <w:b/>
          <w:sz w:val="18"/>
        </w:rPr>
        <w:t xml:space="preserve">Definitions. </w:t>
      </w:r>
      <w:r>
        <w:rPr>
          <w:sz w:val="18"/>
        </w:rPr>
        <w:t xml:space="preserve">  Capitalized terms not otherwise defined in this Annex A shall have the meaning set forth in the Confirmation or the ISDA Agreement.</w:t>
      </w:r>
    </w:p>
    <w:p>
      <w:pPr>
        <w:pStyle w:val="Normal"/>
        <w:spacing w:lineRule="exact" w:line="240"/>
        <w:jc w:val="both"/>
        <w:rPr>
          <w:b/>
          <w:sz w:val="18"/>
        </w:rPr>
      </w:pPr>
      <w:r>
        <w:rPr>
          <w:b/>
          <w:sz w:val="18"/>
        </w:rPr>
      </w:r>
    </w:p>
    <w:p>
      <w:pPr>
        <w:pStyle w:val="Normal"/>
        <w:jc w:val="center"/>
        <w:rPr>
          <w:b/>
          <w:sz w:val="18"/>
          <w:u w:val="single"/>
        </w:rPr>
      </w:pPr>
      <w:r>
        <w:rPr>
          <w:b/>
          <w:sz w:val="18"/>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t>DEEMED ISDA</w:t>
      </w:r>
    </w:p>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jc w:val="center"/>
        <w:rPr>
          <w:b/>
        </w:rPr>
      </w:pPr>
      <w:r>
        <w:rPr>
          <w:b/>
        </w:rPr>
      </w:r>
    </w:p>
    <w:p>
      <w:pPr>
        <w:pStyle w:val="Normal"/>
        <w:jc w:val="center"/>
        <w:rPr>
          <w:b/>
        </w:rPr>
      </w:pPr>
      <w:r>
        <w:rPr>
          <w:b/>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pPr>
      <w:r>
        <w:rPr/>
      </w:r>
    </w:p>
    <w:p>
      <w:pPr>
        <w:pStyle w:val="Normal"/>
        <w:spacing w:lineRule="exact" w:line="240" w:before="240" w:after="0"/>
        <w:jc w:val="both"/>
        <w:rPr/>
      </w:pPr>
      <w:r>
        <w:rPr/>
        <w:t>1.</w:t>
        <w:tab/>
      </w:r>
      <w:r>
        <w:rPr>
          <w:u w:val="single"/>
        </w:rPr>
        <w:t>Additional Events of Default</w:t>
      </w:r>
      <w:r>
        <w:rPr/>
        <w:t>. The following will constitute additional Events of Default for purposes of Section 5(a) of the ISDA Agreement (as defined in the Confirmation to which this Annex B is attached):</w:t>
      </w:r>
    </w:p>
    <w:p>
      <w:pPr>
        <w:pStyle w:val="Normal"/>
        <w:ind w:hanging="720" w:start="720" w:end="0"/>
        <w:jc w:val="both"/>
        <w:rPr>
          <w:b/>
          <w:u w:val="single"/>
        </w:rPr>
      </w:pPr>
      <w:r>
        <w:rPr>
          <w:b/>
        </w:rPr>
        <w:tab/>
      </w:r>
    </w:p>
    <w:p>
      <w:pPr>
        <w:pStyle w:val="Normal"/>
        <w:ind w:hanging="360" w:start="720" w:end="0"/>
        <w:jc w:val="both"/>
        <w:rPr/>
      </w:pPr>
      <w:r>
        <w:rPr/>
        <w:t>(i)</w:t>
        <w:tab/>
        <w:t>The following Events of Default are added to Section 5(a) of the ISDA Agreement:</w:t>
      </w:r>
    </w:p>
    <w:p>
      <w:pPr>
        <w:pStyle w:val="Normal"/>
        <w:ind w:hanging="720" w:start="720" w:end="0"/>
        <w:jc w:val="both"/>
        <w:rPr/>
      </w:pPr>
      <w:r>
        <w:rPr/>
      </w:r>
    </w:p>
    <w:p>
      <w:pPr>
        <w:pStyle w:val="BodyTextIndent2"/>
        <w:ind w:hanging="0" w:start="720" w:end="0"/>
        <w:rPr/>
      </w:pPr>
      <w:r>
        <w:rPr/>
        <w:t>"(ix)if a Guaranty is required to support such party's obligations under a Confirmation to a Transaction, the Guaranty shall expire or be terminated or the Credit Support Provider thereunder shall fail to comply with or perform under the Guaranty.”</w:t>
      </w:r>
    </w:p>
    <w:p>
      <w:pPr>
        <w:pStyle w:val="Normal"/>
        <w:ind w:start="720" w:end="0"/>
        <w:jc w:val="both"/>
        <w:rPr/>
      </w:pPr>
      <w:r>
        <w:rPr/>
      </w:r>
    </w:p>
    <w:p>
      <w:pPr>
        <w:pStyle w:val="Normal"/>
        <w:ind w:hanging="720" w:start="360" w:end="0"/>
        <w:jc w:val="both"/>
        <w:rPr/>
      </w:pPr>
      <w:r>
        <w:rPr/>
        <w:tab/>
        <w:t>(ii)</w:t>
        <w:tab/>
        <w:t>Cross Default:</w:t>
      </w:r>
    </w:p>
    <w:p>
      <w:pPr>
        <w:pStyle w:val="Normal"/>
        <w:ind w:hanging="720" w:start="720" w:end="0"/>
        <w:jc w:val="both"/>
        <w:rPr/>
      </w:pPr>
      <w:r>
        <w:rPr/>
      </w:r>
    </w:p>
    <w:p>
      <w:pPr>
        <w:pStyle w:val="Normal"/>
        <w:ind w:start="720" w:end="0"/>
        <w:jc w:val="both"/>
        <w:rPr/>
      </w:pPr>
      <w:r>
        <w:rPr/>
        <w:t>The “Cross Default” provisions of Section 5(a)(vi) of the ISDA Agreement will apply to Counterparty and will apply to ENA’s Credit Support Provider.  Specified Indebtedness will have the meaning specified in Section 14 of the ISDA Agreement.  Threshold Amount means:  with respect to ENA's Credit Support Provider, U.S. $100,000,000 (or its equivalent in another currency); and with respect to Counterparty, U.S. $100,000,000 (or its equivalent in another currency).</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rPr>
      </w:pPr>
      <w:r>
        <w:rPr>
          <w:b/>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rPr>
      </w:pPr>
      <w:r>
        <w:rPr>
          <w:b/>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t>2.</w:t>
        <w:tab/>
      </w:r>
      <w:r>
        <w:rPr>
          <w:u w:val="single"/>
        </w:rPr>
        <w:t>Additional General Definitions</w:t>
      </w:r>
      <w:r>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360" w:end="0"/>
        <w:jc w:val="both"/>
        <w:rPr>
          <w:b/>
          <w:u w:val="single"/>
        </w:rPr>
      </w:pPr>
      <w:r>
        <w:rPr/>
        <w:t>"</w:t>
      </w:r>
      <w:r>
        <w:rPr>
          <w:i/>
          <w:u w:val="single"/>
        </w:rPr>
        <w:t>Credit Support Provider</w:t>
      </w:r>
      <w:r>
        <w:rPr/>
        <w:t>" means with respect to ENA,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t>3.</w:t>
        <w:tab/>
      </w:r>
      <w:r>
        <w:rPr>
          <w:u w:val="single"/>
        </w:rPr>
        <w:t>Credit Support Documents</w:t>
      </w:r>
      <w:r>
        <w:rPr/>
        <w:t>.  The following Sections are hereby added to the Confirmation:</w:t>
      </w:r>
    </w:p>
    <w:p>
      <w:pPr>
        <w:pStyle w:val="Normal"/>
        <w:ind w:start="360" w:end="0"/>
        <w:jc w:val="both"/>
        <w:rPr>
          <w:b/>
          <w:u w:val="single"/>
        </w:rPr>
      </w:pPr>
      <w:r>
        <w:rPr>
          <w:b/>
          <w:u w:val="single"/>
        </w:rPr>
      </w:r>
    </w:p>
    <w:p>
      <w:pPr>
        <w:pStyle w:val="Normal"/>
        <w:ind w:start="360" w:end="0"/>
        <w:jc w:val="both"/>
        <w:rPr/>
      </w:pPr>
      <w:r>
        <w:rPr/>
        <w:t xml:space="preserve">"15.  </w:t>
      </w:r>
      <w:r>
        <w:rPr>
          <w:u w:val="single"/>
        </w:rPr>
        <w:t>Credit Support Documents - Guaranty</w:t>
      </w:r>
      <w:r>
        <w:rPr/>
        <w:t xml:space="preserve">.  ENA delivered to Counterparty a Guaranty of ENA's Credit Support Provider in favor of Counterparty dated as of October 14, 1999, which shall be a Credit Support Document.” </w:t>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t>4.</w:t>
        <w:tab/>
      </w:r>
      <w:r>
        <w:rPr>
          <w:u w:val="single"/>
        </w:rPr>
        <w:t>Financial Information</w:t>
      </w:r>
      <w:r>
        <w:rPr/>
        <w:t>.</w:t>
      </w:r>
    </w:p>
    <w:p>
      <w:pPr>
        <w:pStyle w:val="Normal"/>
        <w:jc w:val="both"/>
        <w:rPr/>
      </w:pPr>
      <w:r>
        <w:rPr/>
      </w:r>
    </w:p>
    <w:p>
      <w:pPr>
        <w:pStyle w:val="Normal"/>
        <w:jc w:val="both"/>
        <w:rPr/>
      </w:pPr>
      <w:r>
        <w:rPr/>
        <w:tab/>
        <w:t>The following documents are hereby required to be delivered pursuant to Section 4(a) of the ISDA Agreement:</w:t>
      </w:r>
    </w:p>
    <w:p>
      <w:pPr>
        <w:pStyle w:val="Normal"/>
        <w:jc w:val="both"/>
        <w:rPr/>
      </w:pPr>
      <w:r>
        <w:rPr/>
      </w:r>
    </w:p>
    <w:p>
      <w:pPr>
        <w:pStyle w:val="Normal"/>
        <w:ind w:start="360" w:end="0"/>
        <w:jc w:val="both"/>
        <w:rPr/>
      </w:pPr>
      <w:r>
        <w:rPr/>
        <w:t>"(iv)</w:t>
        <w:tab/>
        <w:t>Upon written request, each party shall deliver to the other (i) as soon as available and in any event within 120 days after the end of its Credit Support Provider’s fiscal year a copy of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i/>
        </w:rPr>
        <w:t>"</w:t>
      </w:r>
      <w:r>
        <w:rPr>
          <w:i/>
          <w:u w:val="single"/>
        </w:rPr>
        <w:t>GAAP</w:t>
      </w:r>
      <w:r>
        <w:rPr>
          <w:i/>
        </w:rPr>
        <w:t>"</w:t>
      </w:r>
      <w:r>
        <w:rPr/>
        <w:t>), (ii) as soon as available and in any event within sixty (60) days after the end of each of its Credit Support Provider’s first three fiscal quarters of each fiscal year, copies of its Credit Support Provider’s quarterly reports containing unaudited consolidated financial statements for such fiscal quarter prepared in accordance with GAAP, and (iii) such other publicly available financial information as the other party may reasonably request.”</w:t>
      </w:r>
    </w:p>
    <w:p>
      <w:pPr>
        <w:pStyle w:val="Normal"/>
        <w:rPr/>
      </w:pPr>
      <w:r>
        <w:rPr/>
      </w:r>
    </w:p>
    <w:p>
      <w:pPr>
        <w:pStyle w:val="Normal"/>
        <w:jc w:val="center"/>
        <w:rPr>
          <w:b/>
          <w:sz w:val="18"/>
        </w:rPr>
      </w:pPr>
      <w:r>
        <w:rPr>
          <w:b/>
          <w:sz w:val="18"/>
        </w:rPr>
      </w:r>
    </w:p>
    <w:sectPr>
      <w:headerReference w:type="default" r:id="rId6"/>
      <w:footerReference w:type="default" r:id="rId7"/>
      <w:footerReference w:type="first" r:id="rId8"/>
      <w:type w:val="nextPage"/>
      <w:pgSz w:w="12240" w:h="15840"/>
      <w:pgMar w:left="1440" w:right="1440" w:gutter="0" w:header="720" w:top="1440" w:footer="432"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O:\Legal\Sflynn\081conf(weather).doc</w:t>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O:\Legal\Sflynn\081conf(weather).doc</w:t>
    </w:r>
  </w:p>
  <w:p>
    <w:pPr>
      <w:pStyle w:val="Footer"/>
      <w:rPr>
        <w:sz w:val="16"/>
      </w:rPr>
    </w:pPr>
    <w:r>
      <w:rPr>
        <w:sz w:val="16"/>
      </w:rPr>
    </w:r>
  </w:p>
  <w:p>
    <w:pPr>
      <w:pStyle w:val="Footer"/>
      <w:jc w:val="center"/>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O:\Legal\Sflynn\081conf(weather).doc</w:t>
    </w:r>
  </w:p>
  <w:p>
    <w:pPr>
      <w:pStyle w:val="Footer"/>
      <w:rPr>
        <w:sz w:val="16"/>
      </w:rPr>
    </w:pPr>
    <w:r>
      <w:rPr>
        <w:sz w:val="16"/>
      </w:rPr>
    </w:r>
  </w:p>
  <w:p>
    <w:pPr>
      <w:pStyle w:val="Footer"/>
      <w:rPr>
        <w:sz w:val="16"/>
      </w:rPr>
    </w:pPr>
    <w:r>
      <w:rPr>
        <w:sz w:val="16"/>
      </w:rPr>
    </w:r>
  </w:p>
  <w:p>
    <w:pPr>
      <w:pStyle w:val="Footer"/>
      <w:jc w:val="center"/>
      <w:rPr>
        <w:sz w:val="18"/>
      </w:rPr>
    </w:pPr>
    <w:r>
      <w:rPr>
        <w:sz w:val="18"/>
      </w:rPr>
    </w:r>
  </w:p>
  <w:p>
    <w:pPr>
      <w:pStyle w:val="Footer"/>
      <w:jc w:val="center"/>
      <w:rPr>
        <w:sz w:val="18"/>
      </w:rPr>
    </w:pPr>
    <w:r>
      <w:rPr>
        <w:sz w:val="18"/>
      </w:rPr>
    </w:r>
  </w:p>
  <w:p>
    <w:pPr>
      <w:pStyle w:val="Footer"/>
      <w:jc w:val="center"/>
      <w:rPr>
        <w:sz w:val="18"/>
      </w:rPr>
    </w:pPr>
    <w:r>
      <w:rPr>
        <w:sz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3"/>
      <w:numFmt w:val="upperRoman"/>
      <w:lvlText w:val="%1."/>
      <w:lvlJc w:val="start"/>
      <w:pPr>
        <w:tabs>
          <w:tab w:val="num" w:pos="720"/>
        </w:tabs>
        <w:ind w:start="720" w:hanging="720"/>
      </w:pPr>
      <w:rPr>
        <w:b/>
      </w:rPr>
    </w:lvl>
  </w:abstractNum>
  <w:abstractNum w:abstractNumId="4">
    <w:lvl w:ilvl="0">
      <w:start w:val="1"/>
      <w:numFmt w:val="decimal"/>
      <w:lvlText w:val="%1)"/>
      <w:lvlJc w:val="start"/>
      <w:pPr>
        <w:tabs>
          <w:tab w:val="num" w:pos="360"/>
        </w:tabs>
        <w:ind w:start="360" w:hanging="360"/>
      </w:pPr>
    </w:lvl>
  </w:abstractNum>
  <w:abstractNum w:abstractNumId="5">
    <w:lvl w:ilvl="0">
      <w:start w:val="12"/>
      <w:numFmt w:val="decimal"/>
      <w:lvlText w:val="%1."/>
      <w:lvlJc w:val="start"/>
      <w:pPr>
        <w:tabs>
          <w:tab w:val="num" w:pos="720"/>
        </w:tabs>
        <w:ind w:start="720" w:hanging="720"/>
      </w:pPr>
      <w:rPr>
        <w:b w:val="fals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spacing w:lineRule="exact" w:line="240" w:before="240" w:after="0"/>
      <w:ind w:hanging="720" w:start="720" w:end="0"/>
      <w:jc w:val="both"/>
      <w:outlineLvl w:val="3"/>
    </w:pPr>
    <w:rPr>
      <w:b/>
      <w:sz w:val="18"/>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b w:val="false"/>
      <w:u w:val="none"/>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spacing w:lineRule="exact" w:line="240" w:before="240" w:after="0"/>
      <w:ind w:firstLine="720" w:start="0" w:end="0"/>
      <w:jc w:val="both"/>
    </w:pPr>
    <w:rPr/>
  </w:style>
  <w:style w:type="paragraph" w:styleId="BodyText2">
    <w:name w:val="Body Text 2"/>
    <w:basedOn w:val="Normal"/>
    <w:qFormat/>
    <w:pPr>
      <w:keepNext w:val="true"/>
      <w:keepLines/>
      <w:tabs>
        <w:tab w:val="clear" w:pos="720"/>
        <w:tab w:val="right" w:pos="2988" w:leader="none"/>
      </w:tabs>
      <w:spacing w:lineRule="atLeast" w:line="240"/>
    </w:pPr>
    <w:rPr>
      <w:sz w:val="22"/>
    </w:rPr>
  </w:style>
  <w:style w:type="paragraph" w:styleId="BodyTextIndent2">
    <w:name w:val="Body Text Indent 2"/>
    <w:basedOn w:val="Normal"/>
    <w:qFormat/>
    <w:pPr>
      <w:ind w:hanging="720" w:start="1440" w:end="0"/>
      <w:jc w:val="both"/>
    </w:pPr>
    <w:rPr/>
  </w:style>
  <w:style w:type="paragraph" w:styleId="BodyTextIndent3">
    <w:name w:val="Body Text Indent 3"/>
    <w:basedOn w:val="Normal"/>
    <w:qFormat/>
    <w:pPr>
      <w:ind w:hanging="0" w:start="720" w:end="0"/>
      <w:jc w:val="both"/>
    </w:pPr>
    <w:rPr>
      <w:sz w:val="22"/>
    </w:rPr>
  </w:style>
  <w:style w:type="paragraph" w:styleId="BodyText3">
    <w:name w:val="Body Text 3"/>
    <w:basedOn w:val="Normal"/>
    <w:qFormat/>
    <w:pPr>
      <w:spacing w:lineRule="atLeast" w:line="240"/>
      <w:jc w:val="both"/>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1.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1999-12-27T17:52:00Z</dcterms:created>
  <dc:creator>ECT</dc:creator>
  <dc:description/>
  <dc:language>en-CA</dc:language>
  <cp:lastModifiedBy>charlie hoang</cp:lastModifiedBy>
  <cp:lastPrinted>1999-10-05T12:05:00Z</cp:lastPrinted>
  <dcterms:modified xsi:type="dcterms:W3CDTF">1999-12-27T18:05:00Z</dcterms:modified>
  <cp:revision>3</cp:revision>
  <dc:subject/>
  <dc:title>“DEEMED ISDA” CONFIRMATION</dc:title>
</cp:coreProperties>
</file>