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Capital &amp; Trade Resources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000000"/>
          <w:sz w:val="22"/>
        </w:rPr>
      </w:pPr>
      <w:r>
        <w:rPr>
          <w:color w:val="000000"/>
          <w:sz w:val="22"/>
        </w:rPr>
      </w:r>
    </w:p>
    <w:p>
      <w:pPr>
        <w:pStyle w:val="Normal"/>
        <w:rPr>
          <w:color w:val="000000"/>
          <w:sz w:val="22"/>
        </w:rPr>
      </w:pPr>
      <w:r>
        <w:rPr>
          <w:color w:val="000000"/>
          <w:sz w:val="22"/>
        </w:rPr>
        <w:t xml:space="preserve">Attention:  </w:t>
      </w:r>
      <w:r>
        <w:rPr>
          <w:color w:val="FF0000"/>
          <w:sz w:val="22"/>
        </w:rPr>
        <w:t>[             ]</w:t>
      </w:r>
    </w:p>
    <w:p>
      <w:pPr>
        <w:pStyle w:val="Normal"/>
        <w:rPr>
          <w:color w:val="000000"/>
          <w:sz w:val="22"/>
        </w:rPr>
      </w:pPr>
      <w:r>
        <w:rPr>
          <w:color w:val="000000"/>
          <w:sz w:val="22"/>
        </w:rPr>
      </w:r>
    </w:p>
    <w:p>
      <w:pPr>
        <w:pStyle w:val="Normal"/>
        <w:rPr>
          <w:color w:val="000000"/>
          <w:sz w:val="22"/>
        </w:rPr>
      </w:pPr>
      <w:r>
        <w:rPr>
          <w:color w:val="000000"/>
          <w:sz w:val="22"/>
        </w:rPr>
        <w:t xml:space="preserve">Fax No.: </w:t>
      </w:r>
      <w:r>
        <w:rPr>
          <w:color w:val="FF0000"/>
          <w:sz w:val="22"/>
        </w:rPr>
        <w:t>[             ]</w:t>
      </w:r>
    </w:p>
    <w:p>
      <w:pPr>
        <w:pStyle w:val="Normal"/>
        <w:rPr>
          <w:color w:val="000000"/>
          <w:sz w:val="22"/>
        </w:rPr>
      </w:pPr>
      <w:r>
        <w:rPr>
          <w:color w:val="000000"/>
          <w:sz w:val="22"/>
        </w:rPr>
        <w:t xml:space="preserve">Telephone No.: </w:t>
      </w:r>
      <w:r>
        <w:rPr>
          <w:color w:val="FF0000"/>
          <w:sz w:val="22"/>
        </w:rPr>
        <w:t>[             ]</w:t>
      </w:r>
    </w:p>
    <w:p>
      <w:pPr>
        <w:pStyle w:val="Normal"/>
        <w:rPr>
          <w:color w:val="000000"/>
          <w:sz w:val="22"/>
        </w:rPr>
      </w:pPr>
      <w:r>
        <w:rPr>
          <w:color w:val="000000"/>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ECT Contract No. </w:t>
      </w:r>
      <w:r>
        <w:rPr>
          <w:b/>
          <w:color w:val="FF0000"/>
          <w:sz w:val="22"/>
        </w:rPr>
        <w:t>[             ]</w:t>
      </w:r>
    </w:p>
    <w:p>
      <w:pPr>
        <w:pStyle w:val="Normal"/>
        <w:jc w:val="both"/>
        <w:rPr>
          <w:b/>
        </w:rPr>
      </w:pPr>
      <w:r>
        <w:rPr>
          <w:b/>
        </w:rPr>
      </w:r>
    </w:p>
    <w:p>
      <w:pPr>
        <w:pStyle w:val="BodyText3"/>
        <w:rPr/>
      </w:pPr>
      <w:r>
        <w:rPr/>
        <w:t>Dear Sirs:</w:t>
      </w:r>
    </w:p>
    <w:p>
      <w:pPr>
        <w:pStyle w:val="Normal"/>
        <w:jc w:val="both"/>
        <w:rPr/>
      </w:pPr>
      <w:r>
        <w:rPr/>
      </w:r>
    </w:p>
    <w:p>
      <w:pPr>
        <w:pStyle w:val="Normal"/>
        <w:jc w:val="both"/>
        <w:rPr/>
      </w:pPr>
      <w:r>
        <w:rPr/>
        <w:t xml:space="preserve">The purpose of this document is to confirm the terms and conditions of the transaction entered into pursuant to a telephone conversation between </w:t>
      </w:r>
      <w:r>
        <w:rPr>
          <w:color w:val="FF0000"/>
        </w:rPr>
        <w:t>[CP NAME]</w:t>
      </w:r>
      <w:r>
        <w:rPr/>
        <w:t xml:space="preserve"> (“Counterparty”) and Enron Capital &amp; Trade Resources Corp. (“ECT”) on </w:t>
      </w:r>
      <w:r>
        <w:rPr>
          <w:color w:val="FF0000"/>
        </w:rPr>
        <w:t>[TRADE DATE]</w:t>
      </w:r>
      <w:r>
        <w:rPr/>
        <w:t xml:space="preserve"> (the “Transaction”) whereby we accepted your offer to enter into the Transaction.  This document constitutes a “Confirmation” as referred to in the ISDA Master Agreement specified below.</w:t>
      </w:r>
    </w:p>
    <w:p>
      <w:pPr>
        <w:pStyle w:val="Normal"/>
        <w:jc w:val="both"/>
        <w:rPr/>
      </w:pPr>
      <w:r>
        <w:rPr/>
      </w:r>
    </w:p>
    <w:p>
      <w:pPr>
        <w:pStyle w:val="Normal"/>
        <w:jc w:val="both"/>
        <w:rPr/>
      </w:pPr>
      <w:r>
        <w:rPr/>
        <w:t>1.</w:t>
        <w:tab/>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jc w:val="both"/>
        <w:rPr/>
      </w:pPr>
      <w:r>
        <w:rPr>
          <w:b/>
          <w:color w:val="000000"/>
        </w:rPr>
        <w:t>2.</w:t>
        <w:tab/>
      </w: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Cap Option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color w:val="FF0000"/>
              </w:rPr>
              <w:t xml:space="preserve">[             ] </w:t>
            </w:r>
            <w:r>
              <w:rPr>
                <w:color w:val="000000"/>
              </w:rPr>
              <w:t>per CDD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color w:val="FF0000"/>
              </w:rPr>
            </w:pPr>
            <w:r>
              <w:rPr>
                <w:color w:val="FF0000"/>
              </w:rPr>
              <w:t>[             ]</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Effective Date:</w:t>
            </w:r>
          </w:p>
        </w:tc>
        <w:tc>
          <w:tcPr>
            <w:tcW w:w="6408" w:type="dxa"/>
            <w:tcBorders/>
          </w:tcPr>
          <w:p>
            <w:pPr>
              <w:pStyle w:val="Normal"/>
              <w:jc w:val="both"/>
              <w:rPr>
                <w:color w:val="FF0000"/>
              </w:rPr>
            </w:pPr>
            <w:r>
              <w:rPr>
                <w:color w:val="FF0000"/>
              </w:rPr>
              <w:t>[             ]</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Termination Date:</w:t>
            </w:r>
          </w:p>
        </w:tc>
        <w:tc>
          <w:tcPr>
            <w:tcW w:w="6408" w:type="dxa"/>
            <w:tcBorders/>
          </w:tcPr>
          <w:p>
            <w:pPr>
              <w:pStyle w:val="Normal"/>
              <w:jc w:val="both"/>
              <w:rPr>
                <w:color w:val="FF0000"/>
              </w:rPr>
            </w:pPr>
            <w:r>
              <w:rPr>
                <w:color w:val="FF0000"/>
              </w:rPr>
              <w:t>[             ]</w:t>
            </w:r>
          </w:p>
        </w:tc>
      </w:tr>
      <w:tr>
        <w:trPr/>
        <w:tc>
          <w:tcPr>
            <w:tcW w:w="3168" w:type="dxa"/>
            <w:tcBorders/>
          </w:tcPr>
          <w:p>
            <w:pPr>
              <w:pStyle w:val="Normal"/>
              <w:snapToGrid w:val="false"/>
              <w:jc w:val="both"/>
              <w:rPr>
                <w:color w:val="FF0000"/>
              </w:rPr>
            </w:pPr>
            <w:r>
              <w:rPr>
                <w:color w:val="FF0000"/>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color w:val="FF0000"/>
              </w:rPr>
            </w:pPr>
            <w:r>
              <w:rPr>
                <w:color w:val="FF0000"/>
              </w:rPr>
            </w:r>
          </w:p>
          <w:p>
            <w:pPr>
              <w:pStyle w:val="Normal"/>
              <w:jc w:val="both"/>
              <w:rPr/>
            </w:pPr>
            <w:r>
              <w:rPr>
                <w:color w:val="FF0000"/>
              </w:rPr>
              <w:t xml:space="preserve">[ECT/Counterparty] </w:t>
            </w:r>
            <w:r>
              <w:rPr/>
              <w:t xml:space="preserve">shall pay </w:t>
            </w:r>
            <w:r>
              <w:rPr>
                <w:color w:val="FF0000"/>
              </w:rPr>
              <w:t xml:space="preserve">[ECT/Counterparty] [             ] </w:t>
            </w:r>
            <w:r>
              <w:rPr/>
              <w:t>two Business Days after this Confirmation has been duly executed by both parties</w:t>
            </w:r>
            <w:r>
              <w:rPr>
                <w:color w:val="FF0000"/>
              </w:rPr>
              <w:t>.</w:t>
            </w:r>
          </w:p>
          <w:p>
            <w:pPr>
              <w:pStyle w:val="Normal"/>
              <w:jc w:val="both"/>
              <w:rPr>
                <w:color w:val="FF0000"/>
              </w:rPr>
            </w:pPr>
            <w:r>
              <w:rPr>
                <w:color w:val="FF0000"/>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color w:val="FF0000"/>
              </w:rPr>
            </w:pPr>
            <w:r>
              <w:rPr>
                <w:color w:val="FF0000"/>
              </w:rPr>
              <w:t>[ECT/Counterparty]</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color w:val="FF0000"/>
              </w:rPr>
            </w:pPr>
            <w:r>
              <w:rPr>
                <w:color w:val="FF0000"/>
              </w:rPr>
              <w:t>[ECT/Counterparty]</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color w:val="FF0000"/>
              </w:rPr>
              <w:t>[             ]</w:t>
            </w:r>
            <w:r>
              <w:rPr>
                <w:color w:val="000000"/>
              </w:rPr>
              <w:t xml:space="preserve"> CDD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color w:val="000000"/>
              </w:rPr>
            </w:pPr>
            <w:r>
              <w:rPr>
                <w:color w:val="000000"/>
              </w:rPr>
              <w:t>The sum of CDD’s calculated in accordance with the procedure detailed below, for each day during the applicable Calculation Period.</w:t>
            </w:r>
          </w:p>
          <w:p>
            <w:pPr>
              <w:pStyle w:val="Normal"/>
              <w:jc w:val="both"/>
              <w:rPr/>
            </w:pPr>
            <w:r>
              <w:rPr/>
            </w:r>
          </w:p>
          <w:p>
            <w:pPr>
              <w:pStyle w:val="Normal"/>
              <w:jc w:val="both"/>
              <w:rPr/>
            </w:pPr>
            <w:r>
              <w:rPr/>
              <w:t>CDD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Normal"/>
              <w:jc w:val="both"/>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jc w:val="both"/>
              <w:rPr/>
            </w:pPr>
            <w:r>
              <w:rPr>
                <w:color w:val="FF0000"/>
              </w:rPr>
              <w:t xml:space="preserve">[             ] [City, State] </w:t>
            </w:r>
            <w:r>
              <w:rPr>
                <w:color w:val="000000"/>
              </w:rPr>
              <w:t xml:space="preserve">WBAN # </w:t>
            </w:r>
            <w:r>
              <w:rPr>
                <w:color w:val="FF0000"/>
              </w:rPr>
              <w:t>[             ]</w:t>
            </w:r>
            <w:r>
              <w:rPr>
                <w:color w:val="000000"/>
              </w:rPr>
              <w:t xml:space="preserve">, WMO # </w:t>
            </w:r>
            <w:r>
              <w:rPr>
                <w:color w:val="FF0000"/>
              </w:rPr>
              <w:t>[             ]</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             ] [City, State] </w:t>
            </w:r>
            <w:r>
              <w:rPr>
                <w:color w:val="000000"/>
              </w:rPr>
              <w:t xml:space="preserve">WBAN # </w:t>
            </w:r>
            <w:r>
              <w:rPr>
                <w:color w:val="FF0000"/>
              </w:rPr>
              <w:t>[             ]</w:t>
            </w:r>
            <w:r>
              <w:rPr>
                <w:color w:val="000000"/>
              </w:rPr>
              <w:t xml:space="preserve">, WMO # </w:t>
            </w:r>
            <w:r>
              <w:rPr>
                <w:color w:val="FF0000"/>
              </w:rPr>
              <w:t>[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rounded);and </w:t>
            </w:r>
          </w:p>
          <w:p>
            <w:pPr>
              <w:pStyle w:val="Normal"/>
              <w:numPr>
                <w:ilvl w:val="0"/>
                <w:numId w:val="2"/>
              </w:numPr>
              <w:jc w:val="both"/>
              <w:rPr/>
            </w:pPr>
            <w:r>
              <w:rPr>
                <w:color w:val="00000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The data used to determine the Floating Amount (and to the extent required, data for the FRWS) shall be obtained from the NCDC’s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http://www4.ncdc.noaa.gov/cgi-win/wwcgi.dll?WWNolos~Product~PB-078.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equal to the excess (if a positive number) of (i) the Floating Amount over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b/>
              </w:rPr>
              <w:t>provided, however</w:t>
            </w:r>
            <w:r>
              <w:rPr/>
              <w:t xml:space="preserve">, that the maximum amount payable by the Floating Amount Payer shall not exceed </w:t>
            </w:r>
            <w:r>
              <w:rPr>
                <w:color w:val="FF0000"/>
              </w:rPr>
              <w:t>[             ].</w:t>
            </w:r>
          </w:p>
          <w:p>
            <w:pPr>
              <w:pStyle w:val="Normal"/>
              <w:keepNext w:val="true"/>
              <w:keepLines/>
              <w:ind w:start="-3078" w:end="0"/>
              <w:jc w:val="both"/>
              <w:rPr>
                <w:color w:val="FF0000"/>
              </w:rPr>
            </w:pPr>
            <w:r>
              <w:rPr>
                <w:color w:val="FF0000"/>
              </w:rPr>
            </w:r>
          </w:p>
        </w:tc>
      </w:tr>
    </w:tbl>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ECT:</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Nations Bank of Texas,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     Enron Capital &amp; Trade Resources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t>TO BE ADVISED</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t>TO BE ADVISED</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t>TO BE ADVISED</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t>TO BE ADVISED</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t>TO BE ADVISED</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pPr>
      <w:r>
        <w:rPr/>
        <w:t>4.</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Confirmation (“ISDA Agreement”).  Each party acknowledges that it has a copy of the ISDA Agreement and it has read and understands the terms and conditions thereof.  In the event of any inconsistency among or between the ISDA Agreement, the Definitions (as defined below),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the Agreement by both parties, this Confirmation will supplement, form part of, and be subject to the Agreement.  All provisions contained in the Agreement will govern this Confirmation except as expressly stated herein.  If an Agreement is not executed, the Transaction shall be governed by the terms and conditions of the ISDA Form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(c) </w:t>
      </w:r>
      <w:r>
        <w:rPr>
          <w:u w:val="single"/>
        </w:rPr>
        <w:t>Line of Business</w:t>
      </w:r>
      <w:r>
        <w:rPr/>
        <w:t xml:space="preserve">: ECT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pPr>
      <w:r>
        <w:rPr/>
      </w:r>
    </w:p>
    <w:p>
      <w:pPr>
        <w:pStyle w:val="Normal"/>
        <w:jc w:val="both"/>
        <w:rPr/>
      </w:pPr>
      <w:r>
        <w:rPr/>
        <w:t>6.</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numPr>
          <w:ilvl w:val="0"/>
          <w:numId w:val="3"/>
        </w:numPr>
        <w:tabs>
          <w:tab w:val="clear" w:pos="720"/>
          <w:tab w:val="left" w:pos="0" w:leader="none"/>
        </w:tabs>
        <w:ind w:hanging="0" w:start="0" w:end="0"/>
        <w:jc w:val="both"/>
        <w:rPr/>
      </w:pP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ECT.</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keepNext w:val="true"/>
        <w:jc w:val="both"/>
        <w:rPr>
          <w:b/>
        </w:rPr>
      </w:pPr>
      <w:r>
        <w:rPr/>
        <w:t>11.</w:t>
        <w:tab/>
      </w:r>
      <w:r>
        <w:rPr>
          <w:b/>
          <w:u w:val="single"/>
        </w:rPr>
        <w:t>Offices.</w:t>
      </w:r>
    </w:p>
    <w:p>
      <w:pPr>
        <w:pStyle w:val="Normal"/>
        <w:keepNext w:val="true"/>
        <w:rPr>
          <w:b/>
        </w:rPr>
      </w:pPr>
      <w:r>
        <w:rPr>
          <w:b/>
        </w:rPr>
      </w:r>
    </w:p>
    <w:p>
      <w:pPr>
        <w:pStyle w:val="Normal"/>
        <w:keepNext w:val="true"/>
        <w:ind w:firstLine="720" w:end="0"/>
        <w:jc w:val="both"/>
        <w:rPr/>
      </w:pPr>
      <w:r>
        <w:rPr/>
        <w:t>(a)</w:t>
        <w:tab/>
        <w:t>The office of Enron Capital and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rPr/>
      </w:pPr>
      <w:r>
        <w:rPr/>
        <w:tab/>
        <w:t>(b)</w:t>
        <w:tab/>
        <w:t xml:space="preserve">The office of  </w:t>
      </w:r>
      <w:r>
        <w:rPr>
          <w:color w:val="FF0000"/>
        </w:rPr>
        <w:t>[CP NAME]</w:t>
      </w:r>
      <w:r>
        <w:rPr/>
        <w:t xml:space="preserve"> is and copies of any notices should be delivered _____________, Attention: ________________, Fax No.: _____________.</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rPr>
      </w:pPr>
      <w:r>
        <w:rPr>
          <w:color w:val="000000"/>
        </w:rPr>
      </w:r>
    </w:p>
    <w:p>
      <w:pPr>
        <w:pStyle w:val="Normal"/>
        <w:jc w:val="both"/>
        <w:rPr>
          <w:color w:val="000000"/>
        </w:rPr>
      </w:pPr>
      <w:r>
        <w:rPr>
          <w:color w:val="000000"/>
        </w:rPr>
        <w:t>Enron Capital &amp; Trade Resources 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CAPITAL &amp; TRADE RESOURCES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Heading3"/>
        <w:ind w:hanging="0" w:start="0"/>
        <w:rPr>
          <w:color w:val="000000"/>
        </w:rPr>
      </w:pPr>
      <w:r>
        <w:rPr>
          <w:color w:val="FF0000"/>
        </w:rPr>
        <w:t>[CP NAME]</w:t>
      </w:r>
    </w:p>
    <w:p>
      <w:pPr>
        <w:pStyle w:val="Normal"/>
        <w:keepNext w:val="true"/>
        <w:rPr>
          <w:color w:val="000000"/>
        </w:rPr>
      </w:pPr>
      <w:r>
        <w:rPr>
          <w:color w:val="000000"/>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p>
      <w:pPr>
        <w:pStyle w:val="Normal"/>
        <w:keepNext w:val="true"/>
        <w:rPr>
          <w:color w:val="000000"/>
        </w:rPr>
      </w:pPr>
      <w:r>
        <w:rPr>
          <w:color w:val="000000"/>
        </w:rPr>
      </w:r>
    </w:p>
    <w:sectPr>
      <w:headerReference w:type="default" r:id="rId3"/>
      <w:footerReference w:type="default" r:id="rId4"/>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7"/>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3z0">
    <w:name w:val="WW8Num13z0"/>
    <w:qFormat/>
    <w:rPr>
      <w:b/>
    </w:rPr>
  </w:style>
  <w:style w:type="character" w:styleId="WW8Num14z0">
    <w:name w:val="WW8Num14z0"/>
    <w:qFormat/>
    <w:rPr>
      <w:b/>
      <w:u w:val="single"/>
    </w:rPr>
  </w:style>
  <w:style w:type="character" w:styleId="WW8Num16z0">
    <w:name w:val="WW8Num16z0"/>
    <w:qFormat/>
    <w:rPr>
      <w:b/>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b/>
      <w:u w:val="singl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val="false"/>
      <w:u w:val="none"/>
    </w:rPr>
  </w:style>
  <w:style w:type="character" w:styleId="WW8Num26z0">
    <w:name w:val="WW8Num26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1999-05-28T12:03:00Z</dcterms:created>
  <dc:creator>ECT</dc:creator>
  <dc:description/>
  <dc:language>en-CA</dc:language>
  <cp:lastModifiedBy>sstack</cp:lastModifiedBy>
  <cp:lastPrinted>1999-05-27T16:00:00Z</cp:lastPrinted>
  <dcterms:modified xsi:type="dcterms:W3CDTF">1999-05-28T12:10:00Z</dcterms:modified>
  <cp:revision>5</cp:revision>
  <dc:subject/>
  <dc:title>“DEEMED ISDA” CONFIRMATION</dc:title>
</cp:coreProperties>
</file>