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exact" w:line="240"/>
        <w:ind w:hanging="0" w:start="0" w:end="180"/>
        <w:jc w:val="center"/>
        <w:rPr>
          <w:sz w:val="20"/>
        </w:rPr>
      </w:pPr>
      <w:r>
        <w:rPr>
          <w:sz w:val="20"/>
          <w:u w:val="single"/>
        </w:rPr>
        <w:t>Deed of Guaranty</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This Deed of Guaranty (the “Guaranty”) dated as of  26</w:t>
      </w:r>
      <w:r>
        <w:rPr>
          <w:sz w:val="20"/>
          <w:vertAlign w:val="superscript"/>
        </w:rPr>
        <w:t>th</w:t>
      </w:r>
      <w:r>
        <w:rPr>
          <w:sz w:val="20"/>
        </w:rPr>
        <w:t xml:space="preserve"> October, 2000, is made and entered into by </w:t>
      </w:r>
      <w:r>
        <w:rPr>
          <w:b/>
          <w:caps/>
          <w:sz w:val="20"/>
        </w:rPr>
        <w:t>Enron Corp</w:t>
      </w:r>
      <w:r>
        <w:rPr>
          <w:caps/>
          <w:sz w:val="20"/>
        </w:rPr>
        <w:t>.</w:t>
      </w:r>
      <w:r>
        <w:rPr>
          <w:sz w:val="20"/>
        </w:rPr>
        <w:t>, an Oregon corporation (“</w:t>
      </w:r>
      <w:r>
        <w:rPr>
          <w:b/>
          <w:sz w:val="20"/>
        </w:rPr>
        <w:t>Guarantor</w:t>
      </w:r>
      <w:r>
        <w:rPr>
          <w:sz w:val="20"/>
        </w:rPr>
        <w:t>”) in favour of Morgan Stanley Credit Products Ltd., a company organized under the laws of the Cayman Islands (“</w:t>
      </w:r>
      <w:r>
        <w:rPr>
          <w:b/>
          <w:sz w:val="20"/>
        </w:rPr>
        <w:t>Counterparty</w:t>
      </w:r>
      <w:r>
        <w:rPr>
          <w:sz w:val="20"/>
        </w:rPr>
        <w:t>”).</w:t>
      </w:r>
    </w:p>
    <w:p>
      <w:pPr>
        <w:pStyle w:val="Normal"/>
        <w:keepNext w:val="true"/>
        <w:numPr>
          <w:ilvl w:val="0"/>
          <w:numId w:val="0"/>
        </w:numPr>
        <w:spacing w:lineRule="exact" w:line="240" w:before="240" w:after="0"/>
        <w:ind w:hanging="0" w:start="0"/>
        <w:jc w:val="center"/>
        <w:rPr>
          <w:b/>
          <w:caps/>
          <w:sz w:val="20"/>
        </w:rPr>
      </w:pPr>
      <w:r>
        <w:rPr>
          <w:b/>
          <w:caps/>
          <w:sz w:val="20"/>
        </w:rPr>
        <w:t>W I T N E S S E T H</w:t>
      </w:r>
    </w:p>
    <w:p>
      <w:pPr>
        <w:pStyle w:val="Normal"/>
        <w:numPr>
          <w:ilvl w:val="0"/>
          <w:numId w:val="0"/>
        </w:numPr>
        <w:spacing w:lineRule="atLeast" w:line="240"/>
        <w:ind w:hanging="0" w:start="0"/>
        <w:jc w:val="both"/>
        <w:rPr>
          <w:b/>
          <w:caps/>
          <w:sz w:val="20"/>
        </w:rPr>
      </w:pPr>
      <w:r>
        <w:rPr>
          <w:b/>
          <w:caps/>
          <w:sz w:val="20"/>
        </w:rPr>
      </w:r>
    </w:p>
    <w:p>
      <w:pPr>
        <w:pStyle w:val="Normal"/>
        <w:numPr>
          <w:ilvl w:val="0"/>
          <w:numId w:val="0"/>
        </w:numPr>
        <w:spacing w:lineRule="atLeast" w:line="240"/>
        <w:ind w:firstLine="720" w:start="0" w:end="0"/>
        <w:jc w:val="both"/>
        <w:rPr/>
      </w:pPr>
      <w:r>
        <w:rPr>
          <w:sz w:val="20"/>
        </w:rPr>
        <w:t xml:space="preserve">WHEREAS, Counterparty and </w:t>
      </w:r>
      <w:r>
        <w:rPr>
          <w:b/>
          <w:sz w:val="20"/>
        </w:rPr>
        <w:t>ENRONCREDIT.COM LIMITED</w:t>
      </w:r>
      <w:r>
        <w:rPr>
          <w:sz w:val="20"/>
        </w:rPr>
        <w:t xml:space="preserve"> (“</w:t>
      </w:r>
      <w:r>
        <w:rPr>
          <w:b/>
          <w:sz w:val="20"/>
        </w:rPr>
        <w:t>Enron</w:t>
      </w:r>
      <w:r>
        <w:rPr>
          <w:sz w:val="20"/>
        </w:rPr>
        <w:t>”), a subsidiary of Guarantor, are contemplating entering into one or more swap, option or other financially-settled derivative transactions (each a “</w:t>
      </w:r>
      <w:r>
        <w:rPr>
          <w:b/>
          <w:sz w:val="20"/>
        </w:rPr>
        <w:t>Transaction</w:t>
      </w:r>
      <w:r>
        <w:rPr>
          <w:sz w:val="20"/>
        </w:rPr>
        <w:t>”), which Transactions will be evidenced by one or more confirmations (“</w:t>
      </w:r>
      <w:r>
        <w:rPr>
          <w:b/>
          <w:sz w:val="20"/>
        </w:rPr>
        <w:t>Confirmations</w:t>
      </w:r>
      <w:r>
        <w:rPr>
          <w:sz w:val="20"/>
        </w:rPr>
        <w:t>”) which shall, pursuant to their respective terms, be subject to a deemed agreement in the form of the 1992 ISDA Master Agreement (Multicurrency-Cross Border)  (but without any Schedule except for the election of English law as the governing law and US Dollars as the Termination Currency) (the "</w:t>
      </w:r>
      <w:r>
        <w:rPr>
          <w:b/>
          <w:sz w:val="20"/>
        </w:rPr>
        <w:t>Deemed Agreement</w:t>
      </w:r>
      <w:r>
        <w:rPr>
          <w:sz w:val="20"/>
        </w:rPr>
        <w:t>");</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WHEREAS, Counterparty and Enron have agreed to use all reasonable endeavours promptly to negotiate, execute and deliver an agreement in the form of the 1992 ISDA Master Agreement (Mulitcurrency - Cross Border) , with such modifications as Counterparty and Enron will in good faith agree (the "</w:t>
      </w:r>
      <w:r>
        <w:rPr>
          <w:b/>
          <w:sz w:val="20"/>
        </w:rPr>
        <w:t>Agreement</w:t>
      </w:r>
      <w:r>
        <w:rPr>
          <w:sz w:val="20"/>
        </w:rPr>
        <w:t>");</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sz w:val="20"/>
        </w:rPr>
      </w:pPr>
      <w:r>
        <w:rPr>
          <w:sz w:val="20"/>
        </w:rPr>
        <w:t>WHEREAS, upon the execution of the Agreement by Counterparty and Enron such Agreement shall amend and supersede the Deemed Agreement and all Confirmations shall, in accordance with their respective terms, supplement, form a part of, and be subject to the Agreement; and</w:t>
      </w:r>
    </w:p>
    <w:p>
      <w:pPr>
        <w:pStyle w:val="Normal"/>
        <w:numPr>
          <w:ilvl w:val="0"/>
          <w:numId w:val="0"/>
        </w:numPr>
        <w:spacing w:lineRule="atLeast" w:line="240"/>
        <w:ind w:firstLine="720" w:start="0" w:end="0"/>
        <w:jc w:val="both"/>
        <w:rPr>
          <w:sz w:val="20"/>
        </w:rPr>
      </w:pPr>
      <w:r>
        <w:rPr>
          <w:sz w:val="20"/>
        </w:rPr>
      </w:r>
    </w:p>
    <w:p>
      <w:pPr>
        <w:pStyle w:val="BodyText2"/>
        <w:numPr>
          <w:ilvl w:val="0"/>
          <w:numId w:val="0"/>
        </w:numPr>
        <w:ind w:firstLine="720" w:start="0" w:end="0"/>
        <w:rPr>
          <w:sz w:val="20"/>
        </w:rPr>
      </w:pPr>
      <w:r>
        <w:rPr>
          <w:sz w:val="20"/>
        </w:rPr>
        <w:t>WHEREAS, Guarantor will directly or indirectly benefit from the transactions to be entered into between Enron and Counterparty;</w:t>
      </w:r>
    </w:p>
    <w:p>
      <w:pPr>
        <w:pStyle w:val="BodyText2"/>
        <w:numPr>
          <w:ilvl w:val="0"/>
          <w:numId w:val="0"/>
        </w:numPr>
        <w:ind w:firstLine="720" w:start="0" w:end="0"/>
        <w:rPr>
          <w:sz w:val="20"/>
        </w:rPr>
      </w:pPr>
      <w:r>
        <w:rPr>
          <w:sz w:val="20"/>
        </w:rPr>
      </w:r>
    </w:p>
    <w:p>
      <w:pPr>
        <w:pStyle w:val="BodyText2"/>
        <w:numPr>
          <w:ilvl w:val="0"/>
          <w:numId w:val="0"/>
        </w:numPr>
        <w:ind w:firstLine="720" w:start="0" w:end="0"/>
        <w:rPr>
          <w:sz w:val="20"/>
        </w:rPr>
      </w:pPr>
      <w:r>
        <w:rPr>
          <w:sz w:val="20"/>
        </w:rPr>
        <w:t>NOW THEREFORE, in consideration of Counterparty entering into the Transactions, Guarantor hereby covenants and agrees as follows:</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w:t>
      </w:r>
      <w:r>
        <w:rPr>
          <w:b/>
          <w:sz w:val="20"/>
        </w:rPr>
        <w:t>Obligations</w:t>
      </w:r>
      <w:r>
        <w:rPr>
          <w:sz w:val="20"/>
        </w:rPr>
        <w:t>”) to Counterparty under the Deemed Agreement or Agreement, as applicable, (the “</w:t>
      </w:r>
      <w:r>
        <w:rPr>
          <w:b/>
          <w:sz w:val="20"/>
        </w:rPr>
        <w:t>Contract</w:t>
      </w:r>
      <w:r>
        <w:rPr>
          <w:sz w:val="20"/>
        </w:rPr>
        <w:t xml:space="preserve">”).  This Guaranty shall constitute a continuing guarantee of payment and not of collection </w:t>
      </w:r>
      <w:r>
        <w:rPr>
          <w:b/>
          <w:i/>
          <w:color w:val="000000"/>
          <w:sz w:val="20"/>
          <w:lang w:val="en-AU"/>
        </w:rPr>
        <w:t>subject to the following</w:t>
      </w:r>
      <w:r>
        <w:rPr>
          <w:b/>
          <w:i/>
          <w:sz w:val="20"/>
        </w:rPr>
        <w:t>:</w:t>
      </w:r>
    </w:p>
    <w:p>
      <w:pPr>
        <w:pStyle w:val="Normal"/>
        <w:numPr>
          <w:ilvl w:val="0"/>
          <w:numId w:val="0"/>
        </w:numPr>
        <w:spacing w:lineRule="atLeast" w:line="240"/>
        <w:ind w:firstLine="720" w:start="0" w:end="0"/>
        <w:jc w:val="both"/>
        <w:rPr>
          <w:b/>
          <w:i/>
          <w:i/>
          <w:sz w:val="20"/>
        </w:rPr>
      </w:pPr>
      <w:r>
        <w:rPr>
          <w:b/>
          <w:i/>
          <w:sz w:val="20"/>
        </w:rPr>
      </w:r>
    </w:p>
    <w:p>
      <w:pPr>
        <w:pStyle w:val="BodyTextIndent2"/>
        <w:numPr>
          <w:ilvl w:val="0"/>
          <w:numId w:val="0"/>
        </w:numPr>
        <w:ind w:firstLine="720" w:start="0" w:end="0"/>
        <w:rPr>
          <w:sz w:val="20"/>
        </w:rPr>
      </w:pPr>
      <w:r>
        <w:rPr>
          <w:rFonts w:eastAsia="Tms Rmn;Times New Roman"/>
          <w:sz w:val="20"/>
        </w:rPr>
        <w:t xml:space="preserve"> </w:t>
      </w: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0"/>
        </w:numPr>
        <w:spacing w:before="240" w:after="0"/>
        <w:ind w:hanging="720" w:start="1440" w:end="0"/>
        <w:rPr>
          <w:rFonts w:ascii="Times New Roman" w:hAnsi="Times New Roman" w:cs="Times New Roman"/>
          <w:sz w:val="20"/>
        </w:rPr>
      </w:pPr>
      <w:r>
        <w:rPr>
          <w:rFonts w:cs="Times New Roman" w:ascii="Times New Roman" w:hAnsi="Times New Roman"/>
          <w:sz w:val="20"/>
        </w:rPr>
        <w:t>(b)  The aggregate amount covered by this Guaranty shall not exceed U.S. $50,000,000</w:t>
      </w:r>
    </w:p>
    <w:p>
      <w:pPr>
        <w:pStyle w:val="Normal"/>
        <w:numPr>
          <w:ilvl w:val="0"/>
          <w:numId w:val="0"/>
        </w:numPr>
        <w:spacing w:lineRule="atLeast" w:line="240"/>
        <w:ind w:hanging="0" w:start="0"/>
        <w:jc w:val="both"/>
        <w:rPr>
          <w:rFonts w:ascii="Times New Roman" w:hAnsi="Times New Roman" w:cs="Times New Roman"/>
          <w:sz w:val="20"/>
        </w:rPr>
      </w:pPr>
      <w:r>
        <w:rPr>
          <w:rFonts w:cs="Times New Roman"/>
          <w:sz w:val="20"/>
        </w:rPr>
      </w:r>
    </w:p>
    <w:p>
      <w:pPr>
        <w:pStyle w:val="Normal"/>
        <w:numPr>
          <w:ilvl w:val="0"/>
          <w:numId w:val="0"/>
        </w:numPr>
        <w:spacing w:lineRule="atLeast" w:line="240"/>
        <w:ind w:firstLine="720" w:start="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w:t>
      </w:r>
      <w:r>
        <w:rPr>
          <w:b/>
          <w:sz w:val="20"/>
        </w:rPr>
        <w:t>Payment Demand</w:t>
      </w:r>
      <w:r>
        <w:rPr>
          <w:sz w:val="20"/>
        </w:rPr>
        <w:t>”).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Local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numPr>
          <w:ilvl w:val="0"/>
          <w:numId w:val="0"/>
        </w:numPr>
        <w:spacing w:lineRule="atLeast" w:line="240"/>
        <w:ind w:firstLine="720" w:start="0" w:end="0"/>
        <w:jc w:val="both"/>
        <w:rPr>
          <w:sz w:val="20"/>
        </w:rPr>
      </w:pPr>
      <w:r>
        <w:rPr>
          <w:sz w:val="20"/>
        </w:rPr>
      </w:r>
    </w:p>
    <w:p>
      <w:pPr>
        <w:pStyle w:val="Normal"/>
        <w:keepNext w:val="true"/>
        <w:numPr>
          <w:ilvl w:val="0"/>
          <w:numId w:val="0"/>
        </w:numPr>
        <w:spacing w:lineRule="atLeast" w:line="240"/>
        <w:ind w:firstLine="720" w:start="0" w:end="0"/>
        <w:jc w:val="both"/>
        <w:rPr/>
      </w:pPr>
      <w:r>
        <w:rPr>
          <w:sz w:val="20"/>
        </w:rPr>
        <w:t xml:space="preserve">3.  </w:t>
      </w:r>
      <w:r>
        <w:rPr>
          <w:sz w:val="20"/>
          <w:u w:val="single"/>
        </w:rPr>
        <w:t>REPRESENTATIONS AND WARRANTIES</w:t>
      </w:r>
      <w:r>
        <w:rPr>
          <w:sz w:val="20"/>
        </w:rPr>
        <w:t>.  Guarantor represents and warrants that:</w:t>
      </w:r>
    </w:p>
    <w:p>
      <w:pPr>
        <w:pStyle w:val="Normal"/>
        <w:keepNext w:val="true"/>
        <w:numPr>
          <w:ilvl w:val="0"/>
          <w:numId w:val="0"/>
        </w:numPr>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numPr>
          <w:ilvl w:val="0"/>
          <w:numId w:val="0"/>
        </w:numPr>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numPr>
          <w:ilvl w:val="0"/>
          <w:numId w:val="0"/>
        </w:numPr>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numPr>
          <w:ilvl w:val="0"/>
          <w:numId w:val="0"/>
        </w:numPr>
        <w:spacing w:lineRule="atLeast" w:line="240"/>
        <w:ind w:hanging="0" w:start="0"/>
        <w:jc w:val="both"/>
        <w:rPr>
          <w:sz w:val="20"/>
        </w:rPr>
      </w:pPr>
      <w:r>
        <w:rPr>
          <w:sz w:val="20"/>
        </w:rPr>
      </w:r>
    </w:p>
    <w:p>
      <w:pPr>
        <w:pStyle w:val="Normal"/>
        <w:numPr>
          <w:ilvl w:val="0"/>
          <w:numId w:val="0"/>
        </w:numPr>
        <w:spacing w:lineRule="atLeast" w:line="240"/>
        <w:ind w:firstLine="720" w:start="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 xml:space="preserve">6.  </w:t>
      </w:r>
      <w:r>
        <w:rPr>
          <w:sz w:val="20"/>
          <w:u w:val="single"/>
        </w:rPr>
        <w:t>WAIVERS</w:t>
      </w:r>
      <w:r>
        <w:rPr>
          <w:sz w:val="20"/>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Local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numPr>
          <w:ilvl w:val="0"/>
          <w:numId w:val="0"/>
        </w:numPr>
        <w:tabs>
          <w:tab w:val="clear" w:pos="720"/>
          <w:tab w:val="left" w:pos="2880" w:leader="none"/>
          <w:tab w:val="left" w:pos="6480" w:leader="none"/>
        </w:tabs>
        <w:spacing w:lineRule="exact" w:line="240"/>
        <w:ind w:hanging="0" w:start="720" w:end="0"/>
        <w:jc w:val="both"/>
        <w:rPr>
          <w:sz w:val="20"/>
        </w:rPr>
      </w:pPr>
      <w:r>
        <w:rPr>
          <w:sz w:val="20"/>
        </w:rPr>
      </w:r>
    </w:p>
    <w:tbl>
      <w:tblPr>
        <w:tblW w:w="8748" w:type="dxa"/>
        <w:jc w:val="start"/>
        <w:tblInd w:w="0" w:type="dxa"/>
        <w:tblLayout w:type="fixed"/>
        <w:tblCellMar>
          <w:top w:w="0" w:type="dxa"/>
          <w:start w:w="108" w:type="dxa"/>
          <w:bottom w:w="0" w:type="dxa"/>
          <w:end w:w="108" w:type="dxa"/>
        </w:tblCellMar>
      </w:tblPr>
      <w:tblGrid>
        <w:gridCol w:w="1668"/>
        <w:gridCol w:w="3300"/>
        <w:gridCol w:w="1440"/>
        <w:gridCol w:w="2340"/>
      </w:tblGrid>
      <w:tr>
        <w:trPr/>
        <w:tc>
          <w:tcPr>
            <w:tcW w:w="1668" w:type="dxa"/>
            <w:tcBorders/>
          </w:tcPr>
          <w:p>
            <w:pPr>
              <w:pStyle w:val="Normal"/>
              <w:keepNext w:val="true"/>
              <w:keepLines/>
              <w:numPr>
                <w:ilvl w:val="0"/>
                <w:numId w:val="0"/>
              </w:numPr>
              <w:spacing w:lineRule="atLeast" w:line="240"/>
              <w:ind w:hanging="0" w:start="0"/>
              <w:rPr>
                <w:color w:val="000000"/>
                <w:sz w:val="20"/>
              </w:rPr>
            </w:pPr>
            <w:r>
              <w:rPr>
                <w:color w:val="000000"/>
                <w:sz w:val="20"/>
              </w:rPr>
              <w:t>To Counterparty:</w:t>
            </w:r>
          </w:p>
        </w:tc>
        <w:tc>
          <w:tcPr>
            <w:tcW w:w="3300" w:type="dxa"/>
            <w:tcBorders/>
          </w:tcPr>
          <w:p>
            <w:pPr>
              <w:pStyle w:val="BodyText"/>
              <w:jc w:val="start"/>
              <w:rPr/>
            </w:pPr>
            <w:r>
              <w:rPr/>
              <w:t>Morgan Stanley Credit Products Ltd.</w:t>
            </w:r>
          </w:p>
          <w:p>
            <w:pPr>
              <w:pStyle w:val="BodyText"/>
              <w:jc w:val="start"/>
              <w:rPr/>
            </w:pPr>
            <w:r>
              <w:rPr/>
              <w:t>c/o Maples &amp; Calder</w:t>
            </w:r>
          </w:p>
          <w:p>
            <w:pPr>
              <w:pStyle w:val="Normal"/>
              <w:keepNext w:val="true"/>
              <w:jc w:val="both"/>
              <w:rPr>
                <w:sz w:val="20"/>
              </w:rPr>
            </w:pPr>
            <w:r>
              <w:rPr>
                <w:sz w:val="20"/>
              </w:rPr>
              <w:t xml:space="preserve">PO Box 309, </w:t>
            </w:r>
          </w:p>
          <w:p>
            <w:pPr>
              <w:pStyle w:val="Normal"/>
              <w:keepNext w:val="true"/>
              <w:jc w:val="both"/>
              <w:rPr>
                <w:sz w:val="20"/>
              </w:rPr>
            </w:pPr>
            <w:r>
              <w:rPr>
                <w:sz w:val="20"/>
              </w:rPr>
              <w:t>Ugland House</w:t>
            </w:r>
          </w:p>
          <w:p>
            <w:pPr>
              <w:pStyle w:val="BodyText2"/>
              <w:ind w:hanging="0" w:end="0"/>
              <w:rPr>
                <w:sz w:val="20"/>
              </w:rPr>
            </w:pPr>
            <w:r>
              <w:rPr>
                <w:sz w:val="20"/>
              </w:rPr>
              <w:t>South Church Street</w:t>
            </w:r>
          </w:p>
          <w:p>
            <w:pPr>
              <w:pStyle w:val="Normal"/>
              <w:keepNext w:val="true"/>
              <w:ind w:hanging="720" w:start="720" w:end="0"/>
              <w:jc w:val="both"/>
              <w:rPr>
                <w:sz w:val="20"/>
              </w:rPr>
            </w:pPr>
            <w:r>
              <w:rPr>
                <w:sz w:val="20"/>
              </w:rPr>
              <w:t xml:space="preserve">Grand Cayman </w:t>
            </w:r>
          </w:p>
          <w:p>
            <w:pPr>
              <w:pStyle w:val="Justified"/>
              <w:tabs>
                <w:tab w:val="clear" w:pos="720"/>
                <w:tab w:val="left" w:pos="4230" w:leader="none"/>
                <w:tab w:val="left" w:pos="9360" w:leader="none"/>
              </w:tabs>
              <w:spacing w:lineRule="exact" w:line="240" w:before="0" w:after="0"/>
              <w:jc w:val="start"/>
              <w:rPr>
                <w:rFonts w:ascii="Times New Roman" w:hAnsi="Times New Roman" w:cs="Times New Roman"/>
                <w:sz w:val="20"/>
              </w:rPr>
            </w:pPr>
            <w:r>
              <w:rPr>
                <w:rFonts w:cs="Times New Roman" w:ascii="Times New Roman" w:hAnsi="Times New Roman"/>
                <w:sz w:val="20"/>
              </w:rPr>
              <w:t>Cayman Islands</w:t>
            </w:r>
          </w:p>
          <w:p>
            <w:pPr>
              <w:pStyle w:val="Heading2"/>
              <w:spacing w:before="0" w:after="0"/>
              <w:ind w:hanging="0" w:start="0"/>
              <w:rPr>
                <w:rFonts w:ascii="Times New Roman" w:hAnsi="Times New Roman" w:cs="Times New Roman"/>
                <w:b w:val="false"/>
                <w:bCs w:val="false"/>
                <w:i w:val="false"/>
                <w:i w:val="false"/>
                <w:iCs w:val="false"/>
                <w:sz w:val="20"/>
              </w:rPr>
            </w:pPr>
            <w:r>
              <w:rPr>
                <w:rFonts w:cs="Times New Roman" w:ascii="Times New Roman" w:hAnsi="Times New Roman"/>
                <w:b w:val="false"/>
                <w:bCs w:val="false"/>
                <w:i w:val="false"/>
                <w:iCs w:val="false"/>
                <w:sz w:val="20"/>
              </w:rPr>
              <w:t>Tel. +1 212 761 4000</w:t>
            </w:r>
          </w:p>
          <w:p>
            <w:pPr>
              <w:pStyle w:val="Normal"/>
              <w:rPr>
                <w:sz w:val="20"/>
              </w:rPr>
            </w:pPr>
            <w:r>
              <w:rPr>
                <w:sz w:val="20"/>
              </w:rPr>
              <w:t>Fax. +1 212 761 0580</w:t>
            </w:r>
          </w:p>
        </w:tc>
        <w:tc>
          <w:tcPr>
            <w:tcW w:w="1440" w:type="dxa"/>
            <w:tcBorders/>
          </w:tcPr>
          <w:p>
            <w:pPr>
              <w:pStyle w:val="Normal"/>
              <w:keepNext w:val="true"/>
              <w:keepLines/>
              <w:numPr>
                <w:ilvl w:val="0"/>
                <w:numId w:val="0"/>
              </w:numPr>
              <w:spacing w:lineRule="atLeast" w:line="240"/>
              <w:ind w:hanging="0" w:start="0"/>
              <w:rPr>
                <w:color w:val="000000"/>
                <w:sz w:val="20"/>
              </w:rPr>
            </w:pPr>
            <w:r>
              <w:rPr>
                <w:color w:val="000000"/>
                <w:sz w:val="20"/>
              </w:rPr>
              <w:t>To Guarantor:</w:t>
            </w:r>
          </w:p>
        </w:tc>
        <w:tc>
          <w:tcPr>
            <w:tcW w:w="2340" w:type="dxa"/>
            <w:tcBorders/>
          </w:tcPr>
          <w:p>
            <w:pPr>
              <w:pStyle w:val="Normal"/>
              <w:keepNext w:val="true"/>
              <w:keepLines/>
              <w:numPr>
                <w:ilvl w:val="0"/>
                <w:numId w:val="0"/>
              </w:numPr>
              <w:tabs>
                <w:tab w:val="clear" w:pos="720"/>
                <w:tab w:val="right" w:pos="2988" w:leader="none"/>
              </w:tabs>
              <w:spacing w:lineRule="atLeast" w:line="240"/>
              <w:ind w:hanging="0" w:start="0"/>
              <w:rPr>
                <w:color w:val="000000"/>
                <w:sz w:val="20"/>
              </w:rPr>
            </w:pPr>
            <w:r>
              <w:rPr>
                <w:color w:val="000000"/>
                <w:sz w:val="20"/>
              </w:rPr>
              <w:t>Enron Corp.</w:t>
            </w:r>
          </w:p>
          <w:p>
            <w:pPr>
              <w:pStyle w:val="Normal"/>
              <w:keepNext w:val="true"/>
              <w:keepLines/>
              <w:numPr>
                <w:ilvl w:val="0"/>
                <w:numId w:val="0"/>
              </w:numPr>
              <w:tabs>
                <w:tab w:val="clear" w:pos="720"/>
                <w:tab w:val="right" w:pos="2988" w:leader="none"/>
              </w:tabs>
              <w:spacing w:lineRule="atLeast" w:line="240"/>
              <w:ind w:hanging="0" w:start="0"/>
              <w:rPr>
                <w:color w:val="000000"/>
                <w:sz w:val="20"/>
              </w:rPr>
            </w:pPr>
            <w:r>
              <w:rPr>
                <w:color w:val="000000"/>
                <w:sz w:val="20"/>
              </w:rPr>
              <w:t>1400 Smith Street</w:t>
            </w:r>
          </w:p>
          <w:p>
            <w:pPr>
              <w:pStyle w:val="Normal"/>
              <w:keepNext w:val="true"/>
              <w:keepLines/>
              <w:numPr>
                <w:ilvl w:val="0"/>
                <w:numId w:val="0"/>
              </w:numPr>
              <w:tabs>
                <w:tab w:val="clear" w:pos="720"/>
                <w:tab w:val="right" w:pos="2988" w:leader="none"/>
              </w:tabs>
              <w:spacing w:lineRule="atLeast" w:line="240"/>
              <w:ind w:hanging="0" w:start="0"/>
              <w:rPr>
                <w:color w:val="000000"/>
                <w:sz w:val="20"/>
              </w:rPr>
            </w:pPr>
            <w:r>
              <w:rPr>
                <w:color w:val="000000"/>
                <w:sz w:val="20"/>
              </w:rPr>
              <w:t>Houston, Texas  77002</w:t>
            </w:r>
          </w:p>
          <w:p>
            <w:pPr>
              <w:pStyle w:val="Normal"/>
              <w:keepNext w:val="true"/>
              <w:keepLines/>
              <w:numPr>
                <w:ilvl w:val="0"/>
                <w:numId w:val="0"/>
              </w:numPr>
              <w:tabs>
                <w:tab w:val="clear" w:pos="720"/>
                <w:tab w:val="right" w:pos="2988" w:leader="none"/>
              </w:tabs>
              <w:spacing w:lineRule="atLeast" w:line="240"/>
              <w:ind w:hanging="0" w:start="0"/>
              <w:rPr>
                <w:color w:val="000000"/>
                <w:sz w:val="20"/>
              </w:rPr>
            </w:pPr>
            <w:r>
              <w:rPr>
                <w:color w:val="000000"/>
                <w:sz w:val="20"/>
              </w:rPr>
              <w:t>Attn.:  Vice President, Finance and Treasurer</w:t>
            </w:r>
          </w:p>
          <w:p>
            <w:pPr>
              <w:pStyle w:val="Normal"/>
              <w:keepNext w:val="true"/>
              <w:keepLines/>
              <w:numPr>
                <w:ilvl w:val="0"/>
                <w:numId w:val="0"/>
              </w:numPr>
              <w:tabs>
                <w:tab w:val="clear" w:pos="720"/>
                <w:tab w:val="right" w:pos="2988" w:leader="none"/>
              </w:tabs>
              <w:spacing w:lineRule="atLeast" w:line="240"/>
              <w:ind w:hanging="0" w:start="0"/>
              <w:rPr>
                <w:color w:val="000000"/>
                <w:sz w:val="20"/>
              </w:rPr>
            </w:pPr>
            <w:r>
              <w:rPr>
                <w:color w:val="000000"/>
                <w:sz w:val="20"/>
              </w:rPr>
              <w:t>Fax No.:  (713) 646-3422</w:t>
            </w:r>
          </w:p>
        </w:tc>
      </w:tr>
    </w:tbl>
    <w:p>
      <w:pPr>
        <w:pStyle w:val="Normal"/>
        <w:numPr>
          <w:ilvl w:val="0"/>
          <w:numId w:val="0"/>
        </w:numPr>
        <w:tabs>
          <w:tab w:val="clear" w:pos="720"/>
          <w:tab w:val="left" w:pos="2880" w:leader="none"/>
          <w:tab w:val="left" w:pos="6480" w:leader="none"/>
        </w:tabs>
        <w:spacing w:lineRule="exact" w:line="240"/>
        <w:ind w:hanging="0" w:start="720" w:end="0"/>
        <w:jc w:val="both"/>
        <w:rPr>
          <w:sz w:val="20"/>
        </w:rPr>
      </w:pPr>
      <w:r>
        <w:rPr>
          <w:sz w:val="20"/>
        </w:rPr>
      </w:r>
    </w:p>
    <w:p>
      <w:pPr>
        <w:pStyle w:val="Normal"/>
        <w:numPr>
          <w:ilvl w:val="0"/>
          <w:numId w:val="0"/>
        </w:numPr>
        <w:spacing w:lineRule="atLeast" w:line="240"/>
        <w:ind w:hanging="0" w:start="0"/>
        <w:jc w:val="both"/>
        <w:rPr>
          <w:sz w:val="20"/>
        </w:rPr>
      </w:pPr>
      <w:r>
        <w:rPr>
          <w:sz w:val="20"/>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numPr>
          <w:ilvl w:val="0"/>
          <w:numId w:val="0"/>
        </w:numPr>
        <w:spacing w:lineRule="exact" w:line="240"/>
        <w:ind w:hanging="0" w:start="720" w:end="0"/>
        <w:jc w:val="both"/>
        <w:rPr>
          <w:sz w:val="20"/>
        </w:rPr>
      </w:pPr>
      <w:r>
        <w:rPr>
          <w:sz w:val="20"/>
        </w:rPr>
      </w:r>
    </w:p>
    <w:p>
      <w:pPr>
        <w:pStyle w:val="Normal"/>
        <w:numPr>
          <w:ilvl w:val="0"/>
          <w:numId w:val="0"/>
        </w:numPr>
        <w:spacing w:lineRule="atLeast" w:line="240"/>
        <w:ind w:firstLine="720" w:start="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firstLine="720" w:start="0" w:end="0"/>
        <w:jc w:val="both"/>
        <w:rPr/>
      </w:pPr>
      <w:r>
        <w:rPr>
          <w:sz w:val="20"/>
        </w:rPr>
        <w:t xml:space="preserve">8.  </w:t>
      </w:r>
      <w:r>
        <w:rPr>
          <w:sz w:val="20"/>
          <w:u w:val="single"/>
        </w:rPr>
        <w:t>MISCELLANEOUS</w:t>
      </w:r>
      <w:r>
        <w:rPr>
          <w:sz w:val="20"/>
        </w:rPr>
        <w:t>. This Guaranty shall in all respects be governed by, and construed in accordance with, the laws of England, and Guarantor and Counterparty agree to submit to the exclusive jurisdiction of the courts of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Capitalized terms used herein but not defined shall have the meaning given to such terms in the Contract.  The headings in this Guaranty are for purposes of reference only, and shall not affect the meaning hereof.</w:t>
      </w:r>
    </w:p>
    <w:p>
      <w:pPr>
        <w:pStyle w:val="Normal"/>
        <w:numPr>
          <w:ilvl w:val="0"/>
          <w:numId w:val="0"/>
        </w:numPr>
        <w:spacing w:lineRule="atLeast" w:line="240"/>
        <w:ind w:firstLine="720" w:start="0" w:end="0"/>
        <w:jc w:val="both"/>
        <w:rPr>
          <w:sz w:val="20"/>
        </w:rPr>
      </w:pPr>
      <w:r>
        <w:rPr>
          <w:sz w:val="20"/>
        </w:rPr>
      </w:r>
    </w:p>
    <w:p>
      <w:pPr>
        <w:pStyle w:val="Normal"/>
        <w:numPr>
          <w:ilvl w:val="0"/>
          <w:numId w:val="0"/>
        </w:numPr>
        <w:spacing w:lineRule="atLeast" w:line="240"/>
        <w:ind w:hanging="0" w:start="0"/>
        <w:jc w:val="both"/>
        <w:rPr>
          <w:sz w:val="20"/>
        </w:rPr>
      </w:pPr>
      <w:r>
        <w:rPr>
          <w:sz w:val="20"/>
        </w:rPr>
        <w:t>IN WITNESS WHEREOF, the Guarantor has executed this Deed of Guaranty on 13 December, 2000, but it is effective as of the date first above written.</w:t>
      </w:r>
    </w:p>
    <w:p>
      <w:pPr>
        <w:pStyle w:val="Normal"/>
        <w:numPr>
          <w:ilvl w:val="0"/>
          <w:numId w:val="0"/>
        </w:numPr>
        <w:spacing w:lineRule="exact" w:line="240"/>
        <w:ind w:hanging="0" w:start="0" w:end="720"/>
        <w:rPr>
          <w:b/>
          <w:sz w:val="20"/>
        </w:rPr>
      </w:pPr>
      <w:r>
        <w:rPr>
          <w:b/>
          <w:sz w:val="20"/>
        </w:rPr>
      </w:r>
    </w:p>
    <w:p>
      <w:pPr>
        <w:pStyle w:val="Normal"/>
        <w:numPr>
          <w:ilvl w:val="0"/>
          <w:numId w:val="0"/>
        </w:numPr>
        <w:spacing w:lineRule="exact" w:line="240"/>
        <w:ind w:hanging="0" w:start="0" w:end="720"/>
        <w:rPr>
          <w:sz w:val="20"/>
        </w:rPr>
      </w:pPr>
      <w:r>
        <w:rPr>
          <w:sz w:val="20"/>
        </w:rPr>
        <w:t xml:space="preserve">Executed as a deed by </w:t>
        <w:tab/>
      </w:r>
    </w:p>
    <w:p>
      <w:pPr>
        <w:pStyle w:val="Normal"/>
        <w:numPr>
          <w:ilvl w:val="0"/>
          <w:numId w:val="0"/>
        </w:numPr>
        <w:spacing w:lineRule="exact" w:line="240"/>
        <w:ind w:hanging="0" w:start="0" w:end="720"/>
        <w:rPr>
          <w:sz w:val="20"/>
        </w:rPr>
      </w:pPr>
      <w:r>
        <w:rPr>
          <w:sz w:val="20"/>
        </w:rPr>
      </w:r>
    </w:p>
    <w:p>
      <w:pPr>
        <w:pStyle w:val="Normal"/>
        <w:numPr>
          <w:ilvl w:val="0"/>
          <w:numId w:val="0"/>
        </w:numPr>
        <w:spacing w:lineRule="exact" w:line="240"/>
        <w:ind w:hanging="0" w:start="0" w:end="720"/>
        <w:rPr/>
      </w:pPr>
      <w:r>
        <w:rPr>
          <w:b/>
          <w:sz w:val="20"/>
        </w:rPr>
        <w:t>ENRON CORP.</w:t>
      </w:r>
      <w:r>
        <w:rPr>
          <w:sz w:val="20"/>
        </w:rPr>
        <w:t xml:space="preserve"> </w:t>
      </w:r>
    </w:p>
    <w:p>
      <w:pPr>
        <w:pStyle w:val="Normal"/>
        <w:numPr>
          <w:ilvl w:val="0"/>
          <w:numId w:val="0"/>
        </w:numPr>
        <w:spacing w:lineRule="exact" w:line="240"/>
        <w:ind w:hanging="0" w:start="0" w:end="720"/>
        <w:rPr>
          <w:sz w:val="20"/>
        </w:rPr>
      </w:pPr>
      <w:r>
        <w:rPr>
          <w:sz w:val="20"/>
        </w:rPr>
      </w:r>
    </w:p>
    <w:p>
      <w:pPr>
        <w:pStyle w:val="Normal"/>
        <w:numPr>
          <w:ilvl w:val="0"/>
          <w:numId w:val="0"/>
        </w:numPr>
        <w:tabs>
          <w:tab w:val="clear" w:pos="720"/>
          <w:tab w:val="left" w:pos="2127" w:leader="none"/>
        </w:tabs>
        <w:spacing w:lineRule="exact" w:line="240"/>
        <w:ind w:hanging="0" w:start="0" w:end="720"/>
        <w:rPr>
          <w:sz w:val="20"/>
        </w:rPr>
      </w:pPr>
      <w:r>
        <w:rPr>
          <w:sz w:val="20"/>
        </w:rPr>
        <w:t>acting by</w:t>
        <w:tab/>
        <w:t>……………………………………………</w:t>
      </w:r>
    </w:p>
    <w:p>
      <w:pPr>
        <w:pStyle w:val="Normal"/>
        <w:numPr>
          <w:ilvl w:val="0"/>
          <w:numId w:val="0"/>
        </w:numPr>
        <w:spacing w:lineRule="exact" w:line="240"/>
        <w:ind w:hanging="0" w:start="0" w:end="720"/>
        <w:rPr>
          <w:sz w:val="20"/>
        </w:rPr>
      </w:pPr>
      <w:r>
        <w:rPr>
          <w:sz w:val="20"/>
        </w:rPr>
      </w:r>
    </w:p>
    <w:p>
      <w:pPr>
        <w:pStyle w:val="Normal"/>
        <w:numPr>
          <w:ilvl w:val="0"/>
          <w:numId w:val="0"/>
        </w:numPr>
        <w:tabs>
          <w:tab w:val="clear" w:pos="720"/>
          <w:tab w:val="left" w:pos="2127" w:leader="none"/>
        </w:tabs>
        <w:spacing w:lineRule="exact" w:line="240"/>
        <w:ind w:hanging="0" w:start="0" w:end="720"/>
        <w:rPr>
          <w:sz w:val="20"/>
        </w:rPr>
      </w:pPr>
      <w:r>
        <w:rPr>
          <w:sz w:val="20"/>
        </w:rPr>
        <w:t>and by</w:t>
        <w:tab/>
        <w:t xml:space="preserve">…………………………………………… </w:t>
      </w:r>
    </w:p>
    <w:p>
      <w:pPr>
        <w:pStyle w:val="Normal"/>
        <w:numPr>
          <w:ilvl w:val="0"/>
          <w:numId w:val="0"/>
        </w:numPr>
        <w:tabs>
          <w:tab w:val="clear" w:pos="720"/>
          <w:tab w:val="left" w:pos="2700" w:leader="none"/>
        </w:tabs>
        <w:spacing w:lineRule="exact" w:line="240"/>
        <w:ind w:hanging="3060" w:start="3060" w:end="0"/>
        <w:jc w:val="both"/>
        <w:rPr>
          <w:sz w:val="20"/>
        </w:rPr>
      </w:pPr>
      <w:r>
        <w:rPr>
          <w:sz w:val="20"/>
        </w:rPr>
      </w:r>
    </w:p>
    <w:p>
      <w:pPr>
        <w:pStyle w:val="Normal"/>
        <w:numPr>
          <w:ilvl w:val="0"/>
          <w:numId w:val="0"/>
        </w:numPr>
        <w:tabs>
          <w:tab w:val="clear" w:pos="720"/>
          <w:tab w:val="left" w:pos="2700" w:leader="none"/>
        </w:tabs>
        <w:spacing w:lineRule="exact" w:line="240"/>
        <w:ind w:hanging="3060" w:start="3060" w:end="0"/>
        <w:jc w:val="both"/>
        <w:rPr>
          <w:sz w:val="20"/>
        </w:rPr>
      </w:pPr>
      <w:r>
        <w:rPr>
          <w:sz w:val="20"/>
        </w:rPr>
        <w:t>In the presence of:</w:t>
      </w:r>
    </w:p>
    <w:p>
      <w:pPr>
        <w:pStyle w:val="Normal"/>
        <w:numPr>
          <w:ilvl w:val="0"/>
          <w:numId w:val="0"/>
        </w:numPr>
        <w:tabs>
          <w:tab w:val="clear" w:pos="720"/>
          <w:tab w:val="left" w:pos="2700" w:leader="none"/>
        </w:tabs>
        <w:spacing w:lineRule="exact" w:line="240"/>
        <w:ind w:hanging="3060" w:start="3060" w:end="0"/>
        <w:jc w:val="both"/>
        <w:rPr>
          <w:sz w:val="20"/>
        </w:rPr>
      </w:pPr>
      <w:r>
        <w:rPr>
          <w:sz w:val="20"/>
        </w:rPr>
      </w:r>
    </w:p>
    <w:p>
      <w:pPr>
        <w:pStyle w:val="Normal"/>
        <w:numPr>
          <w:ilvl w:val="0"/>
          <w:numId w:val="0"/>
        </w:numPr>
        <w:tabs>
          <w:tab w:val="clear" w:pos="720"/>
          <w:tab w:val="left" w:pos="2127" w:leader="none"/>
        </w:tabs>
        <w:spacing w:lineRule="exact" w:line="240"/>
        <w:ind w:hanging="3060" w:start="3060" w:end="0"/>
        <w:jc w:val="both"/>
        <w:rPr>
          <w:sz w:val="20"/>
        </w:rPr>
      </w:pPr>
      <w:r>
        <w:rPr>
          <w:sz w:val="20"/>
        </w:rPr>
        <w:t>Witness' Signature</w:t>
        <w:tab/>
        <w:t>…………………………………………….</w:t>
      </w:r>
    </w:p>
    <w:p>
      <w:pPr>
        <w:pStyle w:val="Normal"/>
        <w:numPr>
          <w:ilvl w:val="0"/>
          <w:numId w:val="0"/>
        </w:numPr>
        <w:tabs>
          <w:tab w:val="clear" w:pos="720"/>
          <w:tab w:val="left" w:pos="2700" w:leader="none"/>
        </w:tabs>
        <w:spacing w:lineRule="exact" w:line="240"/>
        <w:ind w:hanging="3060" w:start="3060" w:end="0"/>
        <w:jc w:val="both"/>
        <w:rPr>
          <w:sz w:val="20"/>
        </w:rPr>
      </w:pPr>
      <w:r>
        <w:rPr>
          <w:sz w:val="20"/>
        </w:rPr>
      </w:r>
    </w:p>
    <w:p>
      <w:pPr>
        <w:pStyle w:val="Normal"/>
        <w:numPr>
          <w:ilvl w:val="0"/>
          <w:numId w:val="0"/>
        </w:numPr>
        <w:tabs>
          <w:tab w:val="clear" w:pos="720"/>
          <w:tab w:val="left" w:pos="2127" w:leader="none"/>
        </w:tabs>
        <w:spacing w:lineRule="exact" w:line="240"/>
        <w:ind w:hanging="3060" w:start="3060" w:end="0"/>
        <w:jc w:val="both"/>
        <w:rPr>
          <w:sz w:val="20"/>
        </w:rPr>
      </w:pPr>
      <w:r>
        <w:rPr>
          <w:sz w:val="20"/>
        </w:rPr>
        <w:t>Name</w:t>
        <w:tab/>
        <w:t>…………………………………………….</w:t>
      </w:r>
    </w:p>
    <w:p>
      <w:pPr>
        <w:pStyle w:val="Normal"/>
        <w:numPr>
          <w:ilvl w:val="0"/>
          <w:numId w:val="0"/>
        </w:numPr>
        <w:tabs>
          <w:tab w:val="clear" w:pos="720"/>
          <w:tab w:val="left" w:pos="2127" w:leader="none"/>
        </w:tabs>
        <w:spacing w:lineRule="exact" w:line="240"/>
        <w:ind w:hanging="3060" w:start="3060" w:end="0"/>
        <w:jc w:val="both"/>
        <w:rPr>
          <w:sz w:val="20"/>
        </w:rPr>
      </w:pPr>
      <w:r>
        <w:rPr>
          <w:sz w:val="20"/>
        </w:rPr>
      </w:r>
    </w:p>
    <w:p>
      <w:pPr>
        <w:pStyle w:val="Normal"/>
        <w:numPr>
          <w:ilvl w:val="0"/>
          <w:numId w:val="0"/>
        </w:numPr>
        <w:tabs>
          <w:tab w:val="clear" w:pos="720"/>
          <w:tab w:val="left" w:pos="2127" w:leader="none"/>
        </w:tabs>
        <w:spacing w:lineRule="exact" w:line="240"/>
        <w:ind w:hanging="3060" w:start="3060" w:end="0"/>
        <w:jc w:val="both"/>
        <w:rPr>
          <w:sz w:val="20"/>
        </w:rPr>
      </w:pPr>
      <w:r>
        <w:rPr>
          <w:sz w:val="20"/>
        </w:rPr>
        <w:t>Address</w:t>
        <w:tab/>
        <w:t>…………………………………………….</w:t>
      </w:r>
    </w:p>
    <w:p>
      <w:pPr>
        <w:pStyle w:val="Normal"/>
        <w:numPr>
          <w:ilvl w:val="0"/>
          <w:numId w:val="0"/>
        </w:numPr>
        <w:tabs>
          <w:tab w:val="clear" w:pos="720"/>
          <w:tab w:val="left" w:pos="2127" w:leader="none"/>
        </w:tabs>
        <w:spacing w:lineRule="exact" w:line="240"/>
        <w:ind w:hanging="3060" w:start="3060" w:end="0"/>
        <w:jc w:val="both"/>
        <w:rPr>
          <w:sz w:val="20"/>
        </w:rPr>
      </w:pPr>
      <w:r>
        <w:rPr>
          <w:sz w:val="20"/>
        </w:rPr>
        <w:tab/>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230" w:leader="none"/>
        <w:tab w:val="left" w:pos="9360" w:leader="none"/>
      </w:tabs>
      <w:spacing w:lineRule="exac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tabs>
        <w:tab w:val="clear" w:pos="720"/>
        <w:tab w:val="left" w:pos="1350" w:leader="none"/>
      </w:tabs>
      <w:overflowPunct w:val="false"/>
      <w:autoSpaceDE w:val="false"/>
      <w:ind w:firstLine="720" w:start="0" w:end="0"/>
      <w:jc w:val="both"/>
      <w:textAlignment w:val="baseline"/>
    </w:pPr>
    <w:rPr>
      <w:rFonts w:ascii="Tms Rmn;Times New Roman" w:hAnsi="Tms Rmn;Times New Roman" w:cs="Tms Rmn;Times New Roman"/>
      <w:sz w:val="22"/>
      <w:szCs w:val="20"/>
    </w:rPr>
  </w:style>
  <w:style w:type="paragraph" w:styleId="BodyTextIndent3">
    <w:name w:val="Body Text Indent 3"/>
    <w:basedOn w:val="Normal"/>
    <w:qFormat/>
    <w:pPr>
      <w:overflowPunct w:val="false"/>
      <w:autoSpaceDE w:val="false"/>
      <w:spacing w:lineRule="exact" w:line="240"/>
      <w:ind w:hanging="720" w:start="720" w:end="0"/>
      <w:jc w:val="both"/>
      <w:textAlignment w:val="baseline"/>
    </w:pPr>
    <w:rPr>
      <w:rFonts w:ascii="Tms Rmn;Times New Roman" w:hAnsi="Tms Rmn;Times New Roman" w:cs="Tms Rmn;Times New Roman"/>
      <w:sz w:val="22"/>
      <w:szCs w:val="20"/>
    </w:rPr>
  </w:style>
  <w:style w:type="paragraph" w:styleId="BodyText2">
    <w:name w:val="Body Text 2"/>
    <w:basedOn w:val="Normal"/>
    <w:qFormat/>
    <w:pPr>
      <w:overflowPunct w:val="false"/>
      <w:autoSpaceDE w:val="false"/>
      <w:spacing w:lineRule="atLeast" w:line="240"/>
      <w:ind w:firstLine="720" w:start="0" w:end="0"/>
      <w:jc w:val="both"/>
      <w:textAlignment w:val="baseline"/>
    </w:pPr>
    <w:rPr>
      <w:sz w:val="22"/>
      <w:szCs w:val="20"/>
      <w:lang w:val="en-GB"/>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2000-12-13T10:36:00Z</dcterms:created>
  <dc:creator>doconnel</dc:creator>
  <dc:description/>
  <dc:language>en-CA</dc:language>
  <cp:lastModifiedBy>doconnel</cp:lastModifiedBy>
  <dcterms:modified xsi:type="dcterms:W3CDTF">2000-12-13T10:46:00Z</dcterms:modified>
  <cp:revision>1</cp:revision>
  <dc:subject/>
  <dc:title/>
</cp:coreProperties>
</file>