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eadingCaption"/>
        <w:rPr/>
      </w:pPr>
      <w:r>
        <w:rPr>
          <w:caps/>
        </w:rPr>
        <w:t>Diane E. Pritchard (S</w:t>
      </w:r>
      <w:r>
        <w:rPr/>
        <w:t xml:space="preserve">tate </w:t>
      </w:r>
      <w:r>
        <w:rPr>
          <w:caps/>
        </w:rPr>
        <w:t>B</w:t>
      </w:r>
      <w:r>
        <w:rPr/>
        <w:t>ar</w:t>
      </w:r>
      <w:r>
        <w:rPr>
          <w:caps/>
        </w:rPr>
        <w:t xml:space="preserve"> N</w:t>
      </w:r>
      <w:r>
        <w:rPr/>
        <w:t>o</w:t>
      </w:r>
      <w:r>
        <w:rPr>
          <w:caps/>
        </w:rPr>
        <w:t>. 96999)</w:t>
      </w:r>
    </w:p>
    <w:p>
      <w:pPr>
        <w:pStyle w:val="PleadingCaption"/>
        <w:rPr/>
      </w:pPr>
      <w:r>
        <w:rPr>
          <w:caps/>
        </w:rPr>
        <w:t>Morrison &amp; Foerster</w:t>
      </w:r>
      <w:r>
        <w:rPr>
          <w:smallCaps/>
        </w:rPr>
        <w:t xml:space="preserve"> llp</w:t>
      </w:r>
    </w:p>
    <w:p>
      <w:pPr>
        <w:pStyle w:val="PleadingCaption"/>
        <w:rPr/>
      </w:pPr>
      <w:r>
        <w:rPr/>
        <w:t>425 Market Street</w:t>
      </w:r>
    </w:p>
    <w:p>
      <w:pPr>
        <w:pStyle w:val="PleadingCaption"/>
        <w:rPr/>
      </w:pPr>
      <w:r>
        <w:rPr/>
        <w:t>San Francisco, California 94105-2482</w:t>
      </w:r>
    </w:p>
    <w:p>
      <w:pPr>
        <w:pStyle w:val="PleadingCaption"/>
        <w:rPr/>
      </w:pPr>
      <w:r>
        <w:rPr/>
        <w:t>Telephone:  (415) 268-7000</w:t>
      </w:r>
    </w:p>
    <w:p>
      <w:pPr>
        <w:pStyle w:val="PleadingCaption"/>
        <w:rPr/>
      </w:pPr>
      <w:r>
        <w:rPr/>
        <w:t>Facsimile:  (415) 268-7522</w:t>
      </w:r>
    </w:p>
    <w:p>
      <w:pPr>
        <w:pStyle w:val="PleadingCaption"/>
        <w:rPr/>
      </w:pPr>
      <w:r>
        <w:rPr/>
      </w:r>
    </w:p>
    <w:p>
      <w:pPr>
        <w:pStyle w:val="PleadingCaption"/>
        <w:rPr/>
      </w:pPr>
      <w:r>
        <w:rPr>
          <w:caps/>
        </w:rPr>
        <w:t>GORDON P. ERSPAMER (</w:t>
      </w:r>
      <w:r>
        <w:rPr/>
        <w:t>State Bar No</w:t>
      </w:r>
      <w:r>
        <w:rPr>
          <w:caps/>
        </w:rPr>
        <w:t>. 83364)</w:t>
      </w:r>
    </w:p>
    <w:p>
      <w:pPr>
        <w:pStyle w:val="PleadingCaption"/>
        <w:rPr>
          <w:caps/>
        </w:rPr>
      </w:pPr>
      <w:r>
        <w:rPr>
          <w:caps/>
        </w:rPr>
        <w:t xml:space="preserve">MORRISON &amp; FOERSTER </w:t>
      </w:r>
      <w:r>
        <w:rPr>
          <w:smallCaps/>
        </w:rPr>
        <w:t>llp</w:t>
      </w:r>
    </w:p>
    <w:p>
      <w:pPr>
        <w:pStyle w:val="PleadingCaption"/>
        <w:rPr/>
      </w:pPr>
      <w:r>
        <w:rPr>
          <w:caps/>
        </w:rPr>
        <w:t>101</w:t>
      </w:r>
      <w:r>
        <w:rPr/>
        <w:t xml:space="preserve"> Ygnacio Valley Road, Suite 450</w:t>
      </w:r>
    </w:p>
    <w:p>
      <w:pPr>
        <w:pStyle w:val="PleadingCaption"/>
        <w:rPr/>
      </w:pPr>
      <w:r>
        <w:rPr/>
        <w:t>P.O. Box 8130</w:t>
      </w:r>
    </w:p>
    <w:p>
      <w:pPr>
        <w:pStyle w:val="PleadingCaption"/>
        <w:rPr>
          <w:caps/>
        </w:rPr>
      </w:pPr>
      <w:r>
        <w:rPr/>
        <w:t>Walnut Creek, California  94596-8130</w:t>
      </w:r>
    </w:p>
    <w:p>
      <w:pPr>
        <w:pStyle w:val="PleadingCaption"/>
        <w:rPr/>
      </w:pPr>
      <w:r>
        <w:rPr/>
        <w:t xml:space="preserve">Telephone:  </w:t>
      </w:r>
      <w:r>
        <w:rPr>
          <w:caps/>
        </w:rPr>
        <w:t>(925) 295-3300</w:t>
      </w:r>
    </w:p>
    <w:p>
      <w:pPr>
        <w:pStyle w:val="PleadingCaption"/>
        <w:rPr/>
      </w:pPr>
      <w:r>
        <w:rPr/>
        <w:t>Facsimile:  (925) 946-9912</w:t>
      </w:r>
    </w:p>
    <w:p>
      <w:pPr>
        <w:pStyle w:val="PleadingCaption"/>
        <w:rPr>
          <w:caps/>
        </w:rPr>
      </w:pPr>
      <w:r>
        <w:rPr>
          <w:caps/>
        </w:rPr>
      </w:r>
    </w:p>
    <w:p>
      <w:pPr>
        <w:pStyle w:val="PleadingCaption"/>
        <w:rPr/>
      </w:pPr>
      <w:r>
        <w:rPr/>
        <w:t>Attorneys for Plaintiff</w:t>
      </w:r>
    </w:p>
    <w:p>
      <w:pPr>
        <w:pStyle w:val="Client"/>
        <w:rPr/>
      </w:pPr>
      <w:r>
        <w:rPr/>
        <w:t>AVISTA ENERGY, INC.</w:t>
      </w:r>
    </w:p>
    <w:p>
      <w:pPr>
        <w:pStyle w:val="PleadingCaption"/>
        <w:rPr/>
      </w:pPr>
      <w:r>
        <w:rPr/>
      </w:r>
    </w:p>
    <w:p>
      <w:pPr>
        <w:pStyle w:val="PleadingCaption"/>
        <w:rPr/>
      </w:pPr>
      <w:r>
        <w:rPr/>
      </w:r>
    </w:p>
    <w:p>
      <w:pPr>
        <w:pStyle w:val="Court"/>
        <w:rPr/>
      </w:pPr>
      <w:r>
        <w:rPr/>
        <w:t>UNITED STATES DISTRICT COURT</w:t>
        <w:br/>
        <w:br/>
        <w:t>CENTRAL DISTRICT OF CALIFORNIA</w:t>
      </w:r>
    </w:p>
    <w:p>
      <w:pPr>
        <w:pStyle w:val="PleadingCaption"/>
        <w:rPr/>
      </w:pPr>
      <w:r>
        <w:rPr/>
      </w:r>
    </w:p>
    <w:p>
      <w:pPr>
        <w:pStyle w:val="PleadingCaption"/>
        <w:rPr/>
      </w:pPr>
      <w:r>
        <w:rPr/>
      </w:r>
    </w:p>
    <w:p>
      <w:pPr>
        <w:pStyle w:val="PleadingCaption"/>
        <w:rPr/>
      </w:pPr>
      <w:r>
        <w:rPr/>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bottom w:val="single" w:sz="6" w:space="0" w:color="000000"/>
              <w:end w:val="single" w:sz="6" w:space="0" w:color="000000"/>
            </w:tcBorders>
          </w:tcPr>
          <w:p>
            <w:pPr>
              <w:pStyle w:val="PleadingCaption"/>
              <w:tabs>
                <w:tab w:val="clear" w:pos="2707"/>
                <w:tab w:val="left" w:pos="1066" w:leader="none"/>
                <w:tab w:val="left" w:pos="2340" w:leader="none"/>
                <w:tab w:val="right" w:pos="9360" w:leader="none"/>
              </w:tabs>
              <w:rPr>
                <w:caps/>
              </w:rPr>
            </w:pPr>
            <w:r>
              <w:rPr>
                <w:caps/>
              </w:rPr>
              <w:t xml:space="preserve">Avista energy, Inc., </w:t>
            </w:r>
          </w:p>
          <w:p>
            <w:pPr>
              <w:pStyle w:val="PleadingCaption"/>
              <w:tabs>
                <w:tab w:val="clear" w:pos="2707"/>
                <w:tab w:val="left" w:pos="1066" w:leader="none"/>
                <w:tab w:val="left" w:pos="2340" w:leader="none"/>
                <w:tab w:val="right" w:pos="9360" w:leader="none"/>
              </w:tabs>
              <w:rPr/>
            </w:pPr>
            <w:r>
              <w:rPr/>
            </w:r>
          </w:p>
          <w:p>
            <w:pPr>
              <w:pStyle w:val="PleadingCaption"/>
              <w:tabs>
                <w:tab w:val="clear" w:pos="2707"/>
                <w:tab w:val="left" w:pos="1066" w:leader="none"/>
                <w:tab w:val="left" w:pos="2340" w:leader="none"/>
                <w:tab w:val="left" w:pos="2970" w:leader="none"/>
                <w:tab w:val="right" w:pos="9360" w:leader="none"/>
              </w:tabs>
              <w:rPr/>
            </w:pPr>
            <w:r>
              <w:rPr/>
              <w:tab/>
              <w:tab/>
              <w:t>Plaintiff,</w:t>
            </w:r>
          </w:p>
          <w:p>
            <w:pPr>
              <w:pStyle w:val="PleadingCaption"/>
              <w:tabs>
                <w:tab w:val="clear" w:pos="2707"/>
                <w:tab w:val="left" w:pos="1066" w:leader="none"/>
                <w:tab w:val="left" w:pos="2340" w:leader="none"/>
                <w:tab w:val="right" w:pos="9360" w:leader="none"/>
              </w:tabs>
              <w:rPr/>
            </w:pPr>
            <w:r>
              <w:rPr/>
            </w:r>
          </w:p>
          <w:p>
            <w:pPr>
              <w:pStyle w:val="PleadingCaption"/>
              <w:tabs>
                <w:tab w:val="clear" w:pos="2707"/>
                <w:tab w:val="left" w:pos="1066" w:leader="none"/>
                <w:tab w:val="left" w:pos="2340" w:leader="none"/>
                <w:tab w:val="right" w:pos="9360" w:leader="none"/>
              </w:tabs>
              <w:rPr/>
            </w:pPr>
            <w:r>
              <w:rPr/>
            </w:r>
          </w:p>
          <w:p>
            <w:pPr>
              <w:pStyle w:val="PleadingCaption"/>
              <w:tabs>
                <w:tab w:val="clear" w:pos="2707"/>
                <w:tab w:val="left" w:pos="450" w:leader="none"/>
                <w:tab w:val="left" w:pos="1066" w:leader="none"/>
                <w:tab w:val="left" w:pos="2340" w:leader="none"/>
                <w:tab w:val="right" w:pos="9360" w:leader="none"/>
              </w:tabs>
              <w:rPr/>
            </w:pPr>
            <w:r>
              <w:rPr/>
              <w:tab/>
              <w:t>vs.</w:t>
            </w:r>
          </w:p>
          <w:p>
            <w:pPr>
              <w:pStyle w:val="PleadingCaption"/>
              <w:tabs>
                <w:tab w:val="clear" w:pos="2707"/>
                <w:tab w:val="left" w:pos="1066" w:leader="none"/>
                <w:tab w:val="left" w:pos="2340" w:leader="none"/>
                <w:tab w:val="right" w:pos="9360" w:leader="none"/>
              </w:tabs>
              <w:rPr/>
            </w:pPr>
            <w:r>
              <w:rPr/>
            </w:r>
          </w:p>
          <w:p>
            <w:pPr>
              <w:pStyle w:val="PleadingCaption"/>
              <w:tabs>
                <w:tab w:val="clear" w:pos="2707"/>
                <w:tab w:val="left" w:pos="1066" w:leader="none"/>
                <w:tab w:val="left" w:pos="2340" w:leader="none"/>
                <w:tab w:val="right" w:pos="9360" w:leader="none"/>
              </w:tabs>
              <w:rPr/>
            </w:pPr>
            <w:r>
              <w:rPr/>
            </w:r>
          </w:p>
          <w:p>
            <w:pPr>
              <w:pStyle w:val="PleadingCaption"/>
              <w:tabs>
                <w:tab w:val="clear" w:pos="2707"/>
                <w:tab w:val="left" w:pos="1066" w:leader="none"/>
                <w:tab w:val="left" w:pos="2340" w:leader="none"/>
                <w:tab w:val="right" w:pos="9360" w:leader="none"/>
              </w:tabs>
              <w:rPr/>
            </w:pPr>
            <w:r>
              <w:rPr/>
              <w:t>CALIFORNIA POWER EXCHANGE CORPORATION,</w:t>
            </w:r>
          </w:p>
          <w:p>
            <w:pPr>
              <w:pStyle w:val="PleadingCaption"/>
              <w:tabs>
                <w:tab w:val="clear" w:pos="2707"/>
                <w:tab w:val="left" w:pos="1066" w:leader="none"/>
                <w:tab w:val="left" w:pos="2340" w:leader="none"/>
                <w:tab w:val="left" w:pos="3060" w:leader="none"/>
                <w:tab w:val="right" w:pos="9360" w:leader="none"/>
              </w:tabs>
              <w:rPr/>
            </w:pPr>
            <w:r>
              <w:rPr/>
            </w:r>
          </w:p>
          <w:p>
            <w:pPr>
              <w:pStyle w:val="PleadingCaption"/>
              <w:tabs>
                <w:tab w:val="clear" w:pos="2707"/>
                <w:tab w:val="left" w:pos="1066" w:leader="none"/>
                <w:tab w:val="left" w:pos="2340" w:leader="none"/>
                <w:tab w:val="left" w:pos="3060" w:leader="none"/>
                <w:tab w:val="right" w:pos="9360" w:leader="none"/>
              </w:tabs>
              <w:rPr/>
            </w:pPr>
            <w:r>
              <w:rPr/>
              <w:tab/>
              <w:tab/>
              <w:t>Defendant.</w:t>
            </w:r>
          </w:p>
          <w:p>
            <w:pPr>
              <w:pStyle w:val="PleadingCaption"/>
              <w:rPr/>
            </w:pPr>
            <w:r>
              <w:rPr/>
            </w:r>
          </w:p>
        </w:tc>
        <w:tc>
          <w:tcPr>
            <w:tcW w:w="4518" w:type="dxa"/>
            <w:tcBorders/>
          </w:tcPr>
          <w:p>
            <w:pPr>
              <w:pStyle w:val="PleadingCaption"/>
              <w:tabs>
                <w:tab w:val="clear" w:pos="1066"/>
                <w:tab w:val="clear" w:pos="2707"/>
                <w:tab w:val="left" w:pos="1152" w:leader="none"/>
                <w:tab w:val="right" w:pos="9360" w:leader="none"/>
              </w:tabs>
              <w:ind w:start="162" w:end="0"/>
              <w:rPr/>
            </w:pPr>
            <w:r>
              <w:rPr/>
              <w:t>NO. CV 01-01244 MMM (Mcx)</w:t>
            </w:r>
          </w:p>
          <w:p>
            <w:pPr>
              <w:pStyle w:val="PleadingCaption"/>
              <w:tabs>
                <w:tab w:val="clear" w:pos="1066"/>
                <w:tab w:val="clear" w:pos="2707"/>
                <w:tab w:val="left" w:pos="1152" w:leader="none"/>
                <w:tab w:val="right" w:pos="9360" w:leader="none"/>
              </w:tabs>
              <w:ind w:start="162" w:end="0"/>
              <w:rPr>
                <w:sz w:val="22"/>
              </w:rPr>
            </w:pPr>
            <w:r>
              <w:rPr>
                <w:sz w:val="22"/>
              </w:rPr>
              <w:t>The Honorable Margaret M. Morrow</w:t>
            </w:r>
          </w:p>
          <w:p>
            <w:pPr>
              <w:pStyle w:val="PleadingCaption"/>
              <w:tabs>
                <w:tab w:val="clear" w:pos="1066"/>
                <w:tab w:val="clear" w:pos="2707"/>
                <w:tab w:val="left" w:pos="1152" w:leader="none"/>
                <w:tab w:val="right" w:pos="9360" w:leader="none"/>
              </w:tabs>
              <w:ind w:start="162" w:end="0"/>
              <w:rPr>
                <w:sz w:val="22"/>
              </w:rPr>
            </w:pPr>
            <w:r>
              <w:rPr>
                <w:sz w:val="22"/>
              </w:rPr>
            </w:r>
          </w:p>
          <w:p>
            <w:pPr>
              <w:pStyle w:val="PleadingCaption"/>
              <w:tabs>
                <w:tab w:val="clear" w:pos="1066"/>
                <w:tab w:val="left" w:pos="1152" w:leader="none"/>
                <w:tab w:val="left" w:pos="2707" w:leader="none"/>
                <w:tab w:val="right" w:pos="9360" w:leader="none"/>
              </w:tabs>
              <w:ind w:start="162" w:end="0"/>
              <w:rPr>
                <w:b/>
                <w:caps/>
              </w:rPr>
            </w:pPr>
            <w:r>
              <w:rPr>
                <w:b/>
                <w:caps/>
              </w:rPr>
              <w:t>DECLARATION OF NOLAN A. STEINER IN SUPPORT OF APPLICATION FOR TEMPORARY RESTRAINING ORDER AND motion for PRELIMINARY INJUNCTION</w:t>
            </w:r>
          </w:p>
          <w:p>
            <w:pPr>
              <w:pStyle w:val="PleadingCaption"/>
              <w:tabs>
                <w:tab w:val="clear" w:pos="1066"/>
                <w:tab w:val="left" w:pos="1152" w:leader="none"/>
                <w:tab w:val="left" w:pos="2707" w:leader="none"/>
                <w:tab w:val="right" w:pos="9360" w:leader="none"/>
              </w:tabs>
              <w:ind w:start="162" w:end="0"/>
              <w:rPr>
                <w:b/>
                <w:caps/>
              </w:rPr>
            </w:pPr>
            <w:r>
              <w:rPr>
                <w:b/>
                <w:caps/>
              </w:rPr>
            </w:r>
          </w:p>
          <w:p>
            <w:pPr>
              <w:pStyle w:val="PleadingCaption"/>
              <w:tabs>
                <w:tab w:val="clear" w:pos="1066"/>
                <w:tab w:val="left" w:pos="1152" w:leader="none"/>
                <w:tab w:val="left" w:pos="2707" w:leader="none"/>
                <w:tab w:val="right" w:pos="9360" w:leader="none"/>
              </w:tabs>
              <w:ind w:start="162" w:end="0"/>
              <w:rPr>
                <w:b/>
                <w:caps/>
              </w:rPr>
            </w:pPr>
            <w:r>
              <w:rPr>
                <w:b/>
                <w:caps/>
              </w:rPr>
            </w:r>
          </w:p>
        </w:tc>
      </w:tr>
    </w:tbl>
    <w:p>
      <w:pPr>
        <w:pStyle w:val="BodyText"/>
        <w:rPr/>
      </w:pPr>
      <w:r>
        <w:rPr/>
      </w:r>
    </w:p>
    <w:p>
      <w:pPr>
        <w:pStyle w:val="BodyText"/>
        <w:rPr/>
      </w:pPr>
      <w:r>
        <w:rPr/>
        <w:t xml:space="preserve">I, Nolan A. Steiner, declare:  </w:t>
      </w:r>
    </w:p>
    <w:p>
      <w:pPr>
        <w:pStyle w:val="BodyText1"/>
        <w:numPr>
          <w:ilvl w:val="0"/>
          <w:numId w:val="2"/>
        </w:numPr>
        <w:rPr/>
      </w:pPr>
      <w:r>
        <w:rPr>
          <w:b/>
        </w:rPr>
        <w:t>Identification</w:t>
      </w:r>
      <w:r>
        <w:rPr/>
        <w:t xml:space="preserve">.  I am the Corporate Credit Manager for Avista Energy, Inc. (”Avista Energy”).  I make this declaration in support of Avista Energy’s application for a temporary restraining order and preliminary injunction.  All of the facts stated herein I know of my own personal knowledge and, if called as a witness, I could and would competently testify thereto.  </w:t>
      </w:r>
    </w:p>
    <w:p>
      <w:pPr>
        <w:pStyle w:val="BodyText1"/>
        <w:numPr>
          <w:ilvl w:val="0"/>
          <w:numId w:val="2"/>
        </w:numPr>
        <w:rPr/>
      </w:pPr>
      <w:r>
        <w:rPr/>
        <w:t xml:space="preserve">I have been Avista Energy’s Corporate Credit Manager since November 1999.  Before that, I was a Senior Credit Analyst for Avista Energy.  Avista Energy is a power marketing and trading company.  It is in the business of purchasing and selling energy.  As Corporate Credit Manager, my responsibilities include working to strategically minimize losses in all markets.  This includes assessing counterparties to potential contracts for creditworthiness, monitoring the company’s exposure levels, obtaining security where necessary to protect the company’s exposure, and providing security to meet our own margin requirements.  </w:t>
      </w:r>
    </w:p>
    <w:p>
      <w:pPr>
        <w:pStyle w:val="BodyText1"/>
        <w:numPr>
          <w:ilvl w:val="0"/>
          <w:numId w:val="2"/>
        </w:numPr>
        <w:rPr/>
      </w:pPr>
      <w:r>
        <w:rPr>
          <w:b/>
        </w:rPr>
        <w:t>The CalPX Markets</w:t>
      </w:r>
      <w:r>
        <w:rPr/>
        <w:t xml:space="preserve">.  The California Power Exchange (“CalPX”) operates wholesale electricity markets for the purchase and sale of electricity within California.  It operates what is known as the “Core Market,” on which electricity is bought and sold on a day-ahead or day-of basis.  It also operates the CalPX Trading Services Market, or “Block-Forward Market,” on which electricity is sold pursuant to longer term contracts, for delivery in the future.  </w:t>
      </w:r>
    </w:p>
    <w:p>
      <w:pPr>
        <w:pStyle w:val="BodyText1"/>
        <w:numPr>
          <w:ilvl w:val="0"/>
          <w:numId w:val="2"/>
        </w:numPr>
        <w:rPr/>
      </w:pPr>
      <w:r>
        <w:rPr>
          <w:b/>
        </w:rPr>
        <w:t>The CalPX Participation Agreement</w:t>
      </w:r>
      <w:r>
        <w:rPr/>
        <w:t xml:space="preserve">.  Purchasers and sellers of electricity participate in the CalPX Core and Block-Forward Markets under contracts entered into with the CalPX, called Participation Agreements.  The Participation Agreements are governed by the California Power Exchange Corporation FERC Electric Service Tariff No. 2, approved by the Federal Energy Regulatory Commission (“CalPX Tariff”).  Avista Energy was a participant in the CalPX Core Market through its Participation Agreement with the CalPX which it entered into effective September 17, 1998.  A true copy of Avista Energy’s Participation Agreement with the CalPX is attached to this declaration as Exhibit A.  </w:t>
      </w:r>
    </w:p>
    <w:p>
      <w:pPr>
        <w:pStyle w:val="BodyText1"/>
        <w:numPr>
          <w:ilvl w:val="0"/>
          <w:numId w:val="2"/>
        </w:numPr>
        <w:rPr/>
      </w:pPr>
      <w:r>
        <w:rPr>
          <w:b/>
        </w:rPr>
        <w:t>Avista Energy’s Security Under the CalPX Participation Agreement</w:t>
      </w:r>
      <w:r>
        <w:rPr/>
        <w:t xml:space="preserve">.  Under the CalPX Tariff and the Participation Agreement, the CalPX agreed to monitor the creditworthiness and solvency of the participants, for the benefit of all.  Specifically, the CalPX was to require each participant in the CalPX markets to provide evidence of its solvency and creditworthiness, not to be in default of any of its obligations to the CalPX, and to maintain collateral sufficient to cover its market activities, depending on its credit rating as assigned by the CalPX.  In compliance with its security obligations to the CalPX, Avista Energy has outstanding an irrevocable standby letter of credit in the amount of $500,000, issued by Bank of America.  A true copy of that letter of credit is attached to this declaration as Exhibit B.  </w:t>
      </w:r>
    </w:p>
    <w:p>
      <w:pPr>
        <w:pStyle w:val="BodyText1"/>
        <w:numPr>
          <w:ilvl w:val="0"/>
          <w:numId w:val="2"/>
        </w:numPr>
        <w:rPr/>
      </w:pPr>
      <w:r>
        <w:rPr>
          <w:b/>
        </w:rPr>
        <w:t>CalPX Procedures To Follow in the Event of a Default</w:t>
      </w:r>
      <w:r>
        <w:rPr/>
        <w:t xml:space="preserve">. If a participant defaults in any of its payments due the CalPX, the CalPX is required to follow a particular procedure.  First, the CalPX must proceed against the defaulting participant’s security.  Since, under the CalPX Tariff, a default in the Core Market is deemed a default in all the Block-Forward and Core Markets, the CalPX is required to apply the participant’s collateral in both markets to recover the loss.  (CalPX Tariff, Schedule 2, at §§ 5.1, 5.2.)  Second, the CalPX is required to proceed against the pool performance bond which the CalPX is required to maintain, for any default amounts in excess of the participant’s posted collateral.  (CalPX Tariff, Schedule 2, at § 5.2.2.)  Third, and only if there is any </w:t>
      </w:r>
      <w:r>
        <w:rPr>
          <w:i/>
        </w:rPr>
        <w:t>remaining</w:t>
      </w:r>
      <w:r>
        <w:rPr/>
        <w:t xml:space="preserve"> default amount, after the first two steps are followed, the CalPX may proceed to issue assessments against “current CalPX participants”:  </w:t>
      </w:r>
    </w:p>
    <w:p>
      <w:pPr>
        <w:pStyle w:val="Quote"/>
        <w:rPr/>
      </w:pPr>
      <w:r>
        <w:rPr/>
        <w:t xml:space="preserve">The CalPX Participant’s outstanding default amount will be charged back to all current CalPX Participants based upon the percentage of its gross sales in MWhs to the total gross MWhs sales in the Core Market during the three calendar months preceding the event plus the current month-to-date.  </w:t>
      </w:r>
    </w:p>
    <w:p>
      <w:pPr>
        <w:pStyle w:val="AfterQuote"/>
        <w:rPr/>
      </w:pPr>
      <w:r>
        <w:rPr/>
        <w:t xml:space="preserve">(CalPX Tariff, Schedule 2, at §§ 5.2.4 and 5.3.)  </w:t>
      </w:r>
    </w:p>
    <w:p>
      <w:pPr>
        <w:pStyle w:val="BodyText1"/>
        <w:numPr>
          <w:ilvl w:val="0"/>
          <w:numId w:val="2"/>
        </w:numPr>
        <w:rPr/>
      </w:pPr>
      <w:r>
        <w:rPr/>
        <w:t xml:space="preserve">Avista Energy had never been subject to a “charge-back” assessment until January 18, 2001.  </w:t>
      </w:r>
    </w:p>
    <w:p>
      <w:pPr>
        <w:pStyle w:val="BodyText1"/>
        <w:numPr>
          <w:ilvl w:val="0"/>
          <w:numId w:val="2"/>
        </w:numPr>
        <w:rPr/>
      </w:pPr>
      <w:r>
        <w:rPr>
          <w:b/>
        </w:rPr>
        <w:t>SCE’s Default</w:t>
      </w:r>
      <w:r>
        <w:rPr/>
        <w:t xml:space="preserve">.  SCE defaulted on its obligations to the CalPX in the amount of approximately $215 million on January 18, 2001.  </w:t>
      </w:r>
    </w:p>
    <w:p>
      <w:pPr>
        <w:pStyle w:val="BodyText1"/>
        <w:numPr>
          <w:ilvl w:val="0"/>
          <w:numId w:val="2"/>
        </w:numPr>
        <w:rPr/>
      </w:pPr>
      <w:r>
        <w:rPr>
          <w:b/>
        </w:rPr>
        <w:t>The January 18, 2001 Charge-Back</w:t>
      </w:r>
      <w:r>
        <w:rPr/>
        <w:t>.  On January 18, 2001, purportedly based on SCE’s default of the same day, the CalPX issued a charge-back invoice to Avista Energy in the amount of $1,270,807.  The CalPX provided no evidence to indicate that it had liquidated SCE’s security and proceeded against the $20 million pool performance bond before it issued the charge</w:t>
        <w:noBreakHyphen/>
        <w:t xml:space="preserve">back notice to Avista Energy.  The CalPX, without authorization, paid itself this charge-back amount by withholding it from the $1,420,665 that was then due and owing from the CalPX to Avista Energy based on Avista Energy’s sales of energy to the CalPX.  A true copy of the invoice and related statement is attached to this declaration as Exhibit C.  Avista Energy protested this charge-back-based withholding of funds due it, by letter dated January 26, 2001, a true copy of which is attached to this declaration as Exhibit D.  </w:t>
      </w:r>
    </w:p>
    <w:p>
      <w:pPr>
        <w:pStyle w:val="BodyText1"/>
        <w:numPr>
          <w:ilvl w:val="0"/>
          <w:numId w:val="2"/>
        </w:numPr>
        <w:rPr/>
      </w:pPr>
      <w:r>
        <w:rPr>
          <w:b/>
        </w:rPr>
        <w:t>The CalPX’s Failure to Follow the Proper Default Procedures.</w:t>
      </w:r>
      <w:r>
        <w:rPr/>
        <w:t xml:space="preserve">  The CalPX, upon issuing it’s “charge-back” invoice to Avista Energy on January 18, 2001 — the day of SCE’s default — provided no evidence to substantiate that it had proceeded against any collateral or security it had for SCE and had offset those amounts against SCE’s default, or taken any other action against SCE based on its default (such as filing suit against it).  Even though three weeks have passed, the CalPX still has not instituted suit against SCE on behalf of the CalPX participants.  The CalPX also provided no evidence that it had drawn on the $20 million pool performance bond and offset those proceeds against the SCE default amount.  </w:t>
      </w:r>
    </w:p>
    <w:p>
      <w:pPr>
        <w:pStyle w:val="BodyText1"/>
        <w:numPr>
          <w:ilvl w:val="0"/>
          <w:numId w:val="2"/>
        </w:numPr>
        <w:rPr/>
      </w:pPr>
      <w:r>
        <w:rPr>
          <w:b/>
        </w:rPr>
        <w:t>The January 24, 2001 Charge-Back</w:t>
      </w:r>
      <w:r>
        <w:rPr/>
        <w:t xml:space="preserve">.  On January 24, 2001, again purportedly based on the SCE default, the CalPX issued an additional charge-back notice to Avista Energy in the amount of $16,494.  The CalPX demanded payment within two days.  A true copy of that invoice is attached to this declaration as Exhibit E.  On January 26, 2001, Avista Energy paid the charge-back amount to the CalPX under protest and notified CalPX that it had breached its obligations and that Avista Energy did not owe the charge-back amounts, and reserved its rights to contest its obligation for the charge-back.  A true copy of that letter is attached to this declaration as Exhibit D.  Avista Energy was compelled to pay this charge-back invoice because if it did not, the CalPX would have declared it in default and proceeded against its letter of credit, which would have had the deleterious effects described below.  </w:t>
      </w:r>
    </w:p>
    <w:p>
      <w:pPr>
        <w:pStyle w:val="BodyText1"/>
        <w:numPr>
          <w:ilvl w:val="0"/>
          <w:numId w:val="2"/>
        </w:numPr>
        <w:rPr/>
      </w:pPr>
      <w:r>
        <w:rPr>
          <w:b/>
        </w:rPr>
        <w:t>Avista Energy’s Withdrawal From the CalPX</w:t>
      </w:r>
      <w:r>
        <w:rPr/>
        <w:t>.  Avista Energy withdrew from the CalPX and terminated its Participation Agreement on January 26, 2001.  True copies of Avista Energy’s termination letters are attached to this declaration as Exhibit F.  Therefore, Avista Energy was, as of January 26, 2001, no longer a “current participant” to whom the CalPX can issue charge-back assessments.  (CalPX Tariff, Schedule 2, at § 5.3.)  Despite Avista Energy’s withdrawal, the CalPX has informed us that it will continue to impose additional charge-backs upon Avista Energy as if it were still a “current participant” under the CalPX Tariff.</w:t>
      </w:r>
    </w:p>
    <w:p>
      <w:pPr>
        <w:pStyle w:val="BodyText1"/>
        <w:numPr>
          <w:ilvl w:val="0"/>
          <w:numId w:val="2"/>
        </w:numPr>
        <w:rPr/>
      </w:pPr>
      <w:r>
        <w:rPr>
          <w:b/>
        </w:rPr>
        <w:t>Other Participants’ Nonpayment of the Charge-Backs</w:t>
      </w:r>
      <w:r>
        <w:rPr/>
        <w:t xml:space="preserve">.  The CalPX has informed Avista Energy that at least six CalPX participants did not pay the initial charge-back notices issued by the CalPX in connection with SCE’s default. The CalPX has not provided any evidence to Avista Energy that it has proceeded to draw on those participants’ collateral to satisfy the charge-back amounts or credited the $20 million pool performance bond against the amount used to calculate the charge-backs. </w:t>
      </w:r>
      <w:r>
        <w:rPr>
          <w:b/>
        </w:rPr>
        <w:t xml:space="preserve"> </w:t>
      </w:r>
      <w:r>
        <w:rPr/>
        <w:t>Instead, the CalPX has informed Avista Energy that it will be proceeding to issue an additional charge-back notice to Avista Energy, scheduled to be issued today February 8, 2001, as a result of the nonpayment by other CalPX participants of their charge-back notices.</w:t>
      </w:r>
    </w:p>
    <w:p>
      <w:pPr>
        <w:pStyle w:val="BodyText1"/>
        <w:numPr>
          <w:ilvl w:val="0"/>
          <w:numId w:val="2"/>
        </w:numPr>
        <w:rPr/>
      </w:pPr>
      <w:r>
        <w:rPr>
          <w:b/>
        </w:rPr>
        <w:t>PG&amp;E’s Default</w:t>
      </w:r>
      <w:r>
        <w:rPr/>
        <w:t xml:space="preserve">.  On February 1, 2001, PG&amp;E defaulted on obligations for purchases made by the California Independent System Operator (“ISO”) for PG&amp;E in the amount of approximately $611 million.  The CalPX acts as Scheduling Coordinator for PG&amp;E for PG&amp;E’s purchases through the ISO, and therefore is responsible for collecting those payments.  </w:t>
      </w:r>
    </w:p>
    <w:p>
      <w:pPr>
        <w:pStyle w:val="BodyText1"/>
        <w:numPr>
          <w:ilvl w:val="0"/>
          <w:numId w:val="2"/>
        </w:numPr>
        <w:rPr/>
      </w:pPr>
      <w:r>
        <w:rPr>
          <w:b/>
        </w:rPr>
        <w:t>The Charge-Back Based on PG&amp;E’s Default on ISO Purchases</w:t>
      </w:r>
      <w:r>
        <w:rPr/>
        <w:t xml:space="preserve">.  The CalPX has informed Avista Energy that it will be issuing, today, February 8, 2001, another charge-back notice to Avista Energy based on PG&amp;E’s and SCE’s defaults, and that the invoice will be in the amount of approximately $8 million due from Avista Energy.  Based upon the CalPX’s prior actions, we anticipate that if Avista Energy does not pay this charge-back assessment, the CalPX will declare Avista Energy in default, proceed against its letter of credit, and withhold the approximately $1.5 million payment that is coming due to Avista Energy from the CalPX on February 19, 2001.  </w:t>
      </w:r>
    </w:p>
    <w:p>
      <w:pPr>
        <w:pStyle w:val="BodyText1"/>
        <w:numPr>
          <w:ilvl w:val="0"/>
          <w:numId w:val="2"/>
        </w:numPr>
        <w:rPr/>
      </w:pPr>
      <w:r>
        <w:rPr>
          <w:b/>
        </w:rPr>
        <w:t>Irreparable Harm to Avista Energy From The CalPX’s Improper Charge-Backs</w:t>
      </w:r>
      <w:r>
        <w:rPr/>
        <w:t xml:space="preserve">.  Avista Energy likely will not be able to get its money back from the CalPX for these improper charge-back amounts it is being required to pay.  The CalPX is a nonprofit entity that essentially serves as a clearinghouse.  It has no substantial assets.  In any event, the CalPX is going out of business.  It suspended its Core Market operations effective January 31, 2001, and has publicly stated that it is winding down all its operations.  And rumors are circulating in the market that the CalPX may soon file for bankruptcy.  </w:t>
      </w:r>
    </w:p>
    <w:p>
      <w:pPr>
        <w:pStyle w:val="BodyText1"/>
        <w:numPr>
          <w:ilvl w:val="0"/>
          <w:numId w:val="2"/>
        </w:numPr>
        <w:rPr/>
      </w:pPr>
      <w:r>
        <w:rPr/>
        <w:t xml:space="preserve">Another reason Avista Energy will not be able to recover these “charge-back” amounts from the CalPX is that they are being collected to pay outstanding obligations, that is, to pay CalPX creditors (sellers of energy through the CalPX that are owed money for those transactions).  (CalPX Tariff, Schedule 2, at § 5.2.)  We therefore understand that any charge-back amounts paid by Avista Energy will immediately be paid out by the CalPX to third parties.  Also, we assume that the other market participants have claims against the CalPX similar to ours.  </w:t>
      </w:r>
    </w:p>
    <w:p>
      <w:pPr>
        <w:pStyle w:val="BodyText1"/>
        <w:numPr>
          <w:ilvl w:val="0"/>
          <w:numId w:val="2"/>
        </w:numPr>
        <w:rPr/>
      </w:pPr>
      <w:r>
        <w:rPr/>
        <w:t xml:space="preserve">If Avista Energy does not pay these charge-back amounts, the CalPX has threatened to declare it in default and proceed against Avista Energy’s letter of credit.  This could unduly harm Avista Energy’s business relationships and reputation.  It may also cause counterparties to other of Avista Energy’s contracts to seek further assurances.  The amount of money damages that would adequately compensate Avista Energy for these kinds of injuries are not easily calculable.  </w:t>
      </w:r>
    </w:p>
    <w:p>
      <w:pPr>
        <w:pStyle w:val="BodyText1"/>
        <w:numPr>
          <w:ilvl w:val="0"/>
          <w:numId w:val="2"/>
        </w:numPr>
        <w:rPr/>
      </w:pPr>
      <w:r>
        <w:rPr/>
        <w:t xml:space="preserve">If the CalPX is allowed to keep issuing and collecting additional charge-back amounts, withholding these sums from money the CalPX owes Avista Energy, and drawing on its letter of credit, because Avista Energy likely will not be able to recover these amounts from the CalPX, it will have to proceed against third parties who receive the funds, other CalPX participants, or the defaulting SCE and PG&amp;E (which are insolvent).  </w:t>
      </w:r>
    </w:p>
    <w:p>
      <w:pPr>
        <w:pStyle w:val="BodyText"/>
        <w:rPr/>
      </w:pPr>
      <w:r>
        <w:rPr/>
        <w:t xml:space="preserve">I declare under penalty of perjury that the foregoing is true and correct.  </w:t>
      </w:r>
    </w:p>
    <w:p>
      <w:pPr>
        <w:pStyle w:val="BodyText"/>
        <w:rPr/>
      </w:pPr>
      <w:r>
        <w:rPr/>
        <w:t xml:space="preserve">Executed this 8th day of February, 2001, in Spokane, Washington.  </w:t>
      </w:r>
    </w:p>
    <w:p>
      <w:pPr>
        <w:pStyle w:val="SignatureBlock"/>
        <w:rPr>
          <w:u w:val="single"/>
        </w:rPr>
      </w:pPr>
      <w:r>
        <w:rPr>
          <w:u w:val="single"/>
        </w:rPr>
        <w:tab/>
        <w:t>___</w:t>
        <w:tab/>
        <w:tab/>
      </w:r>
    </w:p>
    <w:p>
      <w:pPr>
        <w:pStyle w:val="ClientIndented"/>
        <w:spacing w:before="120" w:after="0"/>
        <w:ind w:start="4680" w:end="0"/>
        <w:jc w:val="center"/>
        <w:rPr/>
      </w:pPr>
      <w:r>
        <w:rPr/>
        <w:t>Nolan A. Steiner</w:t>
      </w:r>
    </w:p>
    <w:sectPr>
      <w:headerReference w:type="default" r:id="rId2"/>
      <w:footerReference w:type="default" r:id="rId3"/>
      <w:type w:val="nextPage"/>
      <w:pgSz w:w="12240" w:h="15840"/>
      <w:pgMar w:left="2088" w:right="720" w:gutter="0" w:header="475" w:top="1267" w:footer="504" w:bottom="1325"/>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Arial Black">
    <w:charset w:val="00" w:characterSet="windows-1252"/>
    <w:family w:val="swiss"/>
    <w:pitch w:val="variable"/>
  </w:font>
  <w:font w:name="Garamond">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860" w:leader="none"/>
        <w:tab w:val="center" w:pos="7920" w:leader="none"/>
        <w:tab w:val="right" w:pos="8640" w:leader="none"/>
      </w:tabs>
      <w:rPr>
        <w:rStyle w:val="PageNumber"/>
        <w:smallCaps/>
      </w:rPr>
    </w:pPr>
    <w:r>
      <w:rPr>
        <w:smallCaps/>
        <w:sz w:val="20"/>
      </w:rPr>
      <w:t>case no. 01-01244 mmm</w:t>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tabs>
        <w:tab w:val="clear" w:pos="4320"/>
        <w:tab w:val="center" w:pos="4860" w:leader="none"/>
        <w:tab w:val="center" w:pos="7920" w:leader="none"/>
        <w:tab w:val="right" w:pos="8640" w:leader="none"/>
      </w:tabs>
      <w:rPr/>
    </w:pPr>
    <w:r>
      <w:rPr>
        <w:rStyle w:val="PageNumber"/>
        <w:smallCaps/>
        <w:sz w:val="20"/>
      </w:rPr>
      <w:t>Decl. of Nolan A. Steiner in support of application for tro</w:t>
    </w:r>
  </w:p>
  <w:p>
    <w:pPr>
      <w:pStyle w:val="Footer"/>
      <w:spacing w:lineRule="atLeast" w:line="1"/>
      <w:rPr/>
    </w:pPr>
    <w:r>
      <w:rPr>
        <w:rStyle w:val="PageNumber"/>
        <w:smallCaps/>
        <w:vanish/>
        <w:sz w:val="20"/>
      </w:rPr>
      <w:t>|</w:t>
    </w:r>
    <w:r>
      <w:rPr>
        <w:rStyle w:val="PageNumber"/>
        <w:smallCaps/>
        <w:sz w:val="20"/>
      </w:rPr>
      <w:t>sf-1046384</w:t>
    </w:r>
    <w:r>
      <w:rPr>
        <w:rStyle w:val="PageNumber"/>
        <w:smallCaps/>
        <w:vanish/>
        <w:sz w:val="20"/>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560820" cy="9448800"/>
              <wp:effectExtent l="0" t="0" r="0" b="0"/>
              <wp:wrapNone/>
              <wp:docPr id="1" name="Frame1"/>
              <a:graphic xmlns:a="http://schemas.openxmlformats.org/drawingml/2006/main">
                <a:graphicData uri="http://schemas.microsoft.com/office/word/2010/wordprocessingShape">
                  <wps:wsp>
                    <wps:cNvSpPr txBox="1"/>
                    <wps:spPr>
                      <a:xfrm>
                        <a:off x="0" y="0"/>
                        <a:ext cx="6560820" cy="9448800"/>
                      </a:xfrm>
                      <a:prstGeom prst="rect"/>
                      <a:solidFill>
                        <a:srgbClr val="FFFFFF"/>
                      </a:solidFill>
                    </wps:spPr>
                    <wps:txbx>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lineRule="exact" w:line="480" w:before="600" w:after="0"/>
                                  <w:ind w:hanging="0" w:start="0" w:end="144"/>
                                  <w:jc w:val="end"/>
                                  <w:rPr/>
                                </w:pPr>
                                <w:bookmarkStart w:id="0" w:name="LineNo"/>
                                <w:bookmarkEnd w:id="0"/>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516.6pt;height:744pt;mso-wrap-distance-left:0pt;mso-wrap-distance-right:0pt;mso-wrap-distance-top:0pt;mso-wrap-distance-bottom:0pt;margin-top:0pt;mso-position-vertical:top;mso-position-vertical-relative:text;margin-left:-9.05pt;mso-position-horizontal:left;mso-position-horizontal-relative:text">
              <v:textbox inset="0in,0in,0in,0in">
                <w:txbxContent>
                  <w:tbl>
                    <w:tblPr>
                      <w:tblW w:w="10332" w:type="dxa"/>
                      <w:jc w:val="start"/>
                      <w:tblInd w:w="-720" w:type="dxa"/>
                      <w:tblLayout w:type="fixed"/>
                      <w:tblCellMar>
                        <w:top w:w="0" w:type="dxa"/>
                        <w:start w:w="0" w:type="dxa"/>
                        <w:bottom w:w="0" w:type="dxa"/>
                        <w:end w:w="0" w:type="dxa"/>
                      </w:tblCellMar>
                    </w:tblPr>
                    <w:tblGrid>
                      <w:gridCol w:w="540"/>
                      <w:gridCol w:w="9792"/>
                    </w:tblGrid>
                    <w:tr>
                      <w:trPr>
                        <w:trHeight w:val="14880" w:hRule="exact"/>
                      </w:trPr>
                      <w:tc>
                        <w:tcPr>
                          <w:tcW w:w="540" w:type="dxa"/>
                          <w:tcBorders>
                            <w:end w:val="double" w:sz="6" w:space="0" w:color="000000"/>
                          </w:tcBorders>
                        </w:tcPr>
                        <w:p>
                          <w:pPr>
                            <w:pStyle w:val="HeaderNumbers"/>
                            <w:spacing w:lineRule="exact" w:line="480" w:before="600" w:after="0"/>
                            <w:ind w:hanging="0" w:start="0" w:end="144"/>
                            <w:jc w:val="end"/>
                            <w:rPr/>
                          </w:pPr>
                          <w:bookmarkStart w:id="1" w:name="LineNo"/>
                          <w:bookmarkEnd w:id="1"/>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92" w:type="dxa"/>
                          <w:tcBorders>
                            <w:end w:val="single" w:sz="6" w:space="0" w:color="000000"/>
                          </w:tcBorders>
                        </w:tcPr>
                        <w:p>
                          <w:pPr>
                            <w:pStyle w:val="Normal"/>
                            <w:snapToGrid w:val="false"/>
                            <w:rPr/>
                          </w:pPr>
                          <w:r>
                            <w:rPr/>
                          </w:r>
                        </w:p>
                      </w:tc>
                    </w:tr>
                  </w:tbl>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1440"/>
        </w:tabs>
        <w:ind w:start="1440" w:hanging="720"/>
      </w:pPr>
    </w:lvl>
    <w:lvl w:ilvl="2">
      <w:start w:val="1"/>
      <w:pStyle w:val="Heading3"/>
      <w:numFmt w:val="decimal"/>
      <w:lvlText w:val="%3."/>
      <w:lvlJc w:val="start"/>
      <w:pPr>
        <w:tabs>
          <w:tab w:val="num" w:pos="2160"/>
        </w:tabs>
        <w:ind w:start="2160" w:hanging="720"/>
      </w:pPr>
    </w:lvl>
    <w:lvl w:ilvl="3">
      <w:start w:val="1"/>
      <w:pStyle w:val="Heading4"/>
      <w:numFmt w:val="lowerLetter"/>
      <w:lvlText w:val="(%4)"/>
      <w:lvlJc w:val="start"/>
      <w:pPr>
        <w:tabs>
          <w:tab w:val="num" w:pos="2880"/>
        </w:tabs>
        <w:ind w:start="2880" w:hanging="720"/>
      </w:pPr>
    </w:lvl>
    <w:lvl w:ilvl="4">
      <w:start w:val="1"/>
      <w:pStyle w:val="Heading5"/>
      <w:numFmt w:val="lowerRoman"/>
      <w:lvlText w:val="(%5)"/>
      <w:lvlJc w:val="start"/>
      <w:pPr>
        <w:tabs>
          <w:tab w:val="num" w:pos="3600"/>
        </w:tabs>
        <w:ind w:start="3600" w:hanging="720"/>
      </w:pPr>
    </w:lvl>
    <w:lvl w:ilvl="5">
      <w:start w:val="1"/>
      <w:pStyle w:val="Heading6"/>
      <w:numFmt w:val="none"/>
      <w:suff w:val="nothing"/>
      <w:lvlText w:val=""/>
      <w:lvlJc w:val="start"/>
      <w:pPr>
        <w:tabs>
          <w:tab w:val="num" w:pos="0"/>
        </w:tabs>
        <w:ind w:start="32767" w:hanging="0"/>
      </w:pPr>
    </w:lvl>
    <w:lvl w:ilvl="6">
      <w:start w:val="1"/>
      <w:pStyle w:val="Heading7"/>
      <w:numFmt w:val="none"/>
      <w:suff w:val="nothing"/>
      <w:lvlText w:val="%7"/>
      <w:lvlJc w:val="start"/>
      <w:pPr>
        <w:tabs>
          <w:tab w:val="num" w:pos="0"/>
        </w:tabs>
        <w:ind w:start="32767" w:hanging="0"/>
      </w:pPr>
    </w:lvl>
    <w:lvl w:ilvl="7">
      <w:start w:val="1"/>
      <w:pStyle w:val="Heading8"/>
      <w:numFmt w:val="none"/>
      <w:suff w:val="nothing"/>
      <w:lvlText w:val="%8"/>
      <w:lvlJc w:val="start"/>
      <w:pPr>
        <w:tabs>
          <w:tab w:val="num" w:pos="0"/>
        </w:tabs>
        <w:ind w:start="32767" w:hanging="0"/>
      </w:pPr>
    </w:lvl>
    <w:lvl w:ilvl="8">
      <w:start w:val="1"/>
      <w:pStyle w:val="Heading9"/>
      <w:numFmt w:val="none"/>
      <w:suff w:val="nothing"/>
      <w:lvlText w:val="%9"/>
      <w:lvlJc w:val="start"/>
      <w:pPr>
        <w:tabs>
          <w:tab w:val="num" w:pos="0"/>
        </w:tabs>
        <w:ind w:start="32767"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docVars>
    <w:docVar w:name="trailer" w:val="Fin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40"/>
    </w:pPr>
    <w:rPr>
      <w:rFonts w:ascii="Courier New" w:hAnsi="Courier New" w:eastAsia="Times New Roman" w:cs="Courier New"/>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240" w:after="0"/>
      <w:ind w:hanging="0" w:start="0" w:end="720"/>
      <w:outlineLvl w:val="0"/>
    </w:pPr>
    <w:rPr>
      <w:rFonts w:ascii="Courier New" w:hAnsi="Courier New" w:cs="Courier New"/>
      <w:b/>
      <w:caps/>
    </w:rPr>
  </w:style>
  <w:style w:type="paragraph" w:styleId="Heading2">
    <w:name w:val="heading 2"/>
    <w:basedOn w:val="Heading1"/>
    <w:next w:val="BodyText"/>
    <w:qFormat/>
    <w:pPr>
      <w:numPr>
        <w:ilvl w:val="1"/>
        <w:numId w:val="1"/>
      </w:numPr>
      <w:outlineLvl w:val="1"/>
    </w:pPr>
    <w:rPr>
      <w:caps w:val="false"/>
      <w:smallCaps w:val="false"/>
    </w:rPr>
  </w:style>
  <w:style w:type="paragraph" w:styleId="Heading3">
    <w:name w:val="heading 3"/>
    <w:basedOn w:val="Heading2"/>
    <w:next w:val="BodyText"/>
    <w:qFormat/>
    <w:pPr>
      <w:numPr>
        <w:ilvl w:val="2"/>
        <w:numId w:val="1"/>
      </w:numPr>
      <w:outlineLvl w:val="2"/>
    </w:pPr>
    <w:rPr/>
  </w:style>
  <w:style w:type="paragraph" w:styleId="Heading4">
    <w:name w:val="heading 4"/>
    <w:basedOn w:val="Heading3"/>
    <w:next w:val="BodyText"/>
    <w:qFormat/>
    <w:pPr>
      <w:numPr>
        <w:ilvl w:val="3"/>
        <w:numId w:val="1"/>
      </w:numPr>
      <w:tabs>
        <w:tab w:val="clear" w:pos="720"/>
        <w:tab w:val="left" w:pos="0" w:leader="none"/>
      </w:tabs>
      <w:ind w:hanging="360" w:start="3600" w:end="720"/>
      <w:outlineLvl w:val="3"/>
    </w:pPr>
    <w:rPr/>
  </w:style>
  <w:style w:type="paragraph" w:styleId="Heading5">
    <w:name w:val="heading 5"/>
    <w:basedOn w:val="Heading4"/>
    <w:next w:val="BodyText"/>
    <w:qFormat/>
    <w:pPr>
      <w:numPr>
        <w:ilvl w:val="4"/>
        <w:numId w:val="1"/>
      </w:numPr>
      <w:ind w:hanging="360" w:start="4320" w:end="720"/>
      <w:outlineLvl w:val="4"/>
    </w:pPr>
    <w:rPr/>
  </w:style>
  <w:style w:type="paragraph" w:styleId="Heading6">
    <w:name w:val="heading 6"/>
    <w:basedOn w:val="Heading5"/>
    <w:next w:val="BodyText"/>
    <w:qFormat/>
    <w:pPr>
      <w:numPr>
        <w:ilvl w:val="5"/>
        <w:numId w:val="1"/>
      </w:numPr>
      <w:ind w:hanging="360" w:start="3240" w:end="720"/>
      <w:outlineLvl w:val="5"/>
    </w:pPr>
    <w:rPr/>
  </w:style>
  <w:style w:type="paragraph" w:styleId="Heading7">
    <w:name w:val="heading 7"/>
    <w:basedOn w:val="Heading6"/>
    <w:next w:val="BodyText"/>
    <w:qFormat/>
    <w:pPr>
      <w:numPr>
        <w:ilvl w:val="6"/>
        <w:numId w:val="1"/>
      </w:numPr>
      <w:ind w:hanging="360" w:start="3600" w:end="720"/>
      <w:outlineLvl w:val="6"/>
    </w:pPr>
    <w:rPr/>
  </w:style>
  <w:style w:type="paragraph" w:styleId="Heading8">
    <w:name w:val="heading 8"/>
    <w:basedOn w:val="Heading7"/>
    <w:next w:val="BodyText"/>
    <w:qFormat/>
    <w:pPr>
      <w:numPr>
        <w:ilvl w:val="7"/>
        <w:numId w:val="1"/>
      </w:numPr>
      <w:ind w:hanging="360" w:start="3960" w:end="720"/>
      <w:outlineLvl w:val="7"/>
    </w:pPr>
    <w:rPr/>
  </w:style>
  <w:style w:type="paragraph" w:styleId="Heading9">
    <w:name w:val="heading 9"/>
    <w:basedOn w:val="Heading8"/>
    <w:next w:val="BodyText"/>
    <w:qFormat/>
    <w:pPr>
      <w:numPr>
        <w:ilvl w:val="8"/>
        <w:numId w:val="1"/>
      </w:numPr>
      <w:ind w:hanging="360" w:start="4320" w:end="72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39z0">
    <w:name w:val="WW8Num39z0"/>
    <w:qFormat/>
    <w:rPr>
      <w:b/>
      <w:i w:val="false"/>
    </w:rPr>
  </w:style>
  <w:style w:type="character" w:styleId="WW8Num39z1">
    <w:name w:val="WW8Num39z1"/>
    <w:qFormat/>
    <w:rPr>
      <w:b/>
      <w:i w:val="false"/>
      <w:u w:val="none"/>
    </w:rPr>
  </w:style>
  <w:style w:type="character" w:styleId="WW8Num39z3">
    <w:name w:val="WW8Num39z3"/>
    <w:qFormat/>
    <w:rPr>
      <w:rFonts w:ascii="Arial" w:hAnsi="Arial" w:cs="Arial"/>
      <w:b w:val="false"/>
      <w:i w:val="false"/>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Emphasis">
    <w:name w:val="Emphasis"/>
    <w:qFormat/>
    <w:rPr>
      <w:rFonts w:ascii="Arial Black" w:hAnsi="Arial Black" w:cs="Arial Black"/>
      <w:sz w:val="18"/>
    </w:rPr>
  </w:style>
  <w:style w:type="paragraph" w:styleId="Heading">
    <w:name w:val="Heading"/>
    <w:basedOn w:val="Normal"/>
    <w:next w:val="BodyText"/>
    <w:qFormat/>
    <w:pPr>
      <w:spacing w:before="480" w:after="0"/>
      <w:jc w:val="center"/>
    </w:pPr>
    <w:rPr>
      <w:b/>
      <w:caps/>
      <w:kern w:val="2"/>
    </w:rPr>
  </w:style>
  <w:style w:type="paragraph" w:styleId="BodyText">
    <w:name w:val="Body Text"/>
    <w:basedOn w:val="Normal"/>
    <w:pPr>
      <w:spacing w:lineRule="exact" w:line="480"/>
      <w:ind w:firstLine="720" w:start="0" w:end="0"/>
      <w:jc w:val="both"/>
    </w:pPr>
    <w:rPr>
      <w:rFonts w:ascii="Courier New" w:hAnsi="Courier New" w:cs="Courier New"/>
      <w:kern w:val="2"/>
    </w:rPr>
  </w:style>
  <w:style w:type="paragraph" w:styleId="List">
    <w:name w:val="List"/>
    <w:basedOn w:val="BodyText"/>
    <w:pPr/>
    <w:rPr>
      <w:rFonts w:cs="NotoSans NF"/>
    </w:rPr>
  </w:style>
  <w:style w:type="paragraph" w:styleId="Caption">
    <w:name w:val="caption"/>
    <w:basedOn w:val="Normal"/>
    <w:next w:val="Normal"/>
    <w:qFormat/>
    <w:pPr>
      <w:spacing w:before="120" w:after="120"/>
    </w:pPr>
    <w:rPr>
      <w:rFonts w:ascii="Courier New" w:hAnsi="Courier New" w:cs="Courier New"/>
      <w:b/>
    </w:rPr>
  </w:style>
  <w:style w:type="paragraph" w:styleId="Index">
    <w:name w:val="Index"/>
    <w:basedOn w:val="Normal"/>
    <w:qFormat/>
    <w:pPr>
      <w:suppressLineNumbers/>
    </w:pPr>
    <w:rPr>
      <w:rFonts w:cs="NotoSans NF"/>
    </w:rPr>
  </w:style>
  <w:style w:type="paragraph" w:styleId="PleadingCaption">
    <w:name w:val="Pleading Caption"/>
    <w:basedOn w:val="Normal"/>
    <w:qFormat/>
    <w:pPr>
      <w:tabs>
        <w:tab w:val="clear" w:pos="720"/>
        <w:tab w:val="left" w:pos="1066" w:leader="none"/>
        <w:tab w:val="left" w:pos="2707" w:leader="none"/>
        <w:tab w:val="right" w:pos="9360" w:leader="none"/>
      </w:tabs>
    </w:pPr>
    <w:rPr>
      <w:kern w:val="2"/>
    </w:rPr>
  </w:style>
  <w:style w:type="paragraph" w:styleId="Quote">
    <w:name w:val="Quote"/>
    <w:basedOn w:val="Normal"/>
    <w:next w:val="AfterQuote"/>
    <w:qFormat/>
    <w:pPr>
      <w:spacing w:lineRule="auto" w:line="240" w:before="240" w:after="0"/>
      <w:ind w:hanging="0" w:start="720" w:end="720"/>
      <w:jc w:val="both"/>
    </w:pPr>
    <w:rPr>
      <w:kern w:val="2"/>
    </w:rPr>
  </w:style>
  <w:style w:type="paragraph" w:styleId="AfterQuote">
    <w:name w:val="After Quote"/>
    <w:basedOn w:val="BodyText"/>
    <w:next w:val="BodyText"/>
    <w:qFormat/>
    <w:pPr>
      <w:ind w:hanging="0" w:start="0" w:end="0"/>
    </w:pPr>
    <w:rPr>
      <w:rFonts w:ascii="Courier New" w:hAnsi="Courier New" w:cs="Courier New"/>
    </w:rPr>
  </w:style>
  <w:style w:type="paragraph" w:styleId="TOAHeading">
    <w:name w:val="TOA Heading"/>
    <w:basedOn w:val="Normal"/>
    <w:next w:val="Normal"/>
    <w:qFormat/>
    <w:pPr>
      <w:spacing w:before="120" w:after="0"/>
    </w:pPr>
    <w:rPr>
      <w:b/>
    </w:rPr>
  </w:style>
  <w:style w:type="paragraph" w:styleId="FootnoteText">
    <w:name w:val="footnote text"/>
    <w:basedOn w:val="Normal"/>
    <w:pPr>
      <w:spacing w:before="240" w:after="0"/>
      <w:ind w:firstLine="720" w:start="0" w:end="0"/>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Courier New" w:hAnsi="Courier New" w:cs="Courier New"/>
    </w:rPr>
  </w:style>
  <w:style w:type="paragraph" w:styleId="Footer">
    <w:name w:val="footer"/>
    <w:basedOn w:val="Normal"/>
    <w:pPr>
      <w:tabs>
        <w:tab w:val="clear" w:pos="720"/>
        <w:tab w:val="center" w:pos="4320" w:leader="none"/>
        <w:tab w:val="center" w:pos="7920" w:leader="none"/>
        <w:tab w:val="right" w:pos="8640" w:leader="none"/>
      </w:tabs>
    </w:pPr>
    <w:rPr>
      <w:rFonts w:ascii="Courier New" w:hAnsi="Courier New" w:cs="Courier New"/>
    </w:rPr>
  </w:style>
  <w:style w:type="paragraph" w:styleId="SignatureBlock">
    <w:name w:val="Signature Block"/>
    <w:basedOn w:val="Normal"/>
    <w:qFormat/>
    <w:pPr>
      <w:keepNext w:val="true"/>
      <w:tabs>
        <w:tab w:val="clear" w:pos="720"/>
        <w:tab w:val="right" w:pos="8640" w:leader="none"/>
        <w:tab w:val="right" w:pos="9180" w:leader="none"/>
      </w:tabs>
      <w:ind w:hanging="0" w:start="4320" w:end="0"/>
    </w:pPr>
    <w:rPr/>
  </w:style>
  <w:style w:type="paragraph" w:styleId="HeaderNumbers">
    <w:name w:val="HeaderNumbers"/>
    <w:basedOn w:val="Normal"/>
    <w:qFormat/>
    <w:pPr>
      <w:spacing w:lineRule="exact" w:line="480" w:before="600" w:after="0"/>
      <w:ind w:hanging="0" w:start="0" w:end="144"/>
      <w:jc w:val="end"/>
    </w:pPr>
    <w:rPr>
      <w:rFonts w:ascii="Courier New" w:hAnsi="Courier New" w:cs="Courier New"/>
    </w:rPr>
  </w:style>
  <w:style w:type="paragraph" w:styleId="TOC1">
    <w:name w:val="toc 1"/>
    <w:basedOn w:val="Normal"/>
    <w:next w:val="Normal"/>
    <w:pPr>
      <w:tabs>
        <w:tab w:val="left" w:pos="720" w:leader="none"/>
        <w:tab w:val="right" w:pos="9360" w:leader="none"/>
      </w:tabs>
      <w:spacing w:before="240" w:after="0"/>
      <w:ind w:hanging="720" w:start="720" w:end="792"/>
    </w:pPr>
    <w:rPr>
      <w:lang w:val="en-CA"/>
    </w:rPr>
  </w:style>
  <w:style w:type="paragraph" w:styleId="TOC2">
    <w:name w:val="toc 2"/>
    <w:basedOn w:val="TOC1"/>
    <w:next w:val="Normal"/>
    <w:pPr>
      <w:tabs>
        <w:tab w:val="left" w:pos="720" w:leader="none"/>
        <w:tab w:val="left" w:pos="1440" w:leader="none"/>
        <w:tab w:val="right" w:pos="9360" w:leader="none"/>
      </w:tabs>
      <w:ind w:hanging="720" w:start="1440" w:end="792"/>
    </w:pPr>
    <w:rPr>
      <w:lang w:val="en-CA"/>
    </w:rPr>
  </w:style>
  <w:style w:type="paragraph" w:styleId="Court">
    <w:name w:val="Court"/>
    <w:basedOn w:val="Normal"/>
    <w:qFormat/>
    <w:pPr>
      <w:spacing w:before="240" w:after="0"/>
      <w:jc w:val="center"/>
    </w:pPr>
    <w:rPr>
      <w:rFonts w:ascii="Courier New" w:hAnsi="Courier New" w:cs="Courier New"/>
    </w:rPr>
  </w:style>
  <w:style w:type="paragraph" w:styleId="Client">
    <w:name w:val="Client"/>
    <w:basedOn w:val="Normal"/>
    <w:qFormat/>
    <w:pPr>
      <w:ind w:hanging="0" w:start="0" w:end="4406"/>
    </w:pPr>
    <w:rPr>
      <w:rFonts w:ascii="Courier New" w:hAnsi="Courier New" w:cs="Courier New"/>
    </w:rPr>
  </w:style>
  <w:style w:type="paragraph" w:styleId="Date">
    <w:name w:val="Date"/>
    <w:basedOn w:val="Normal"/>
    <w:qFormat/>
    <w:pPr>
      <w:keepNext w:val="true"/>
      <w:tabs>
        <w:tab w:val="clear" w:pos="720"/>
        <w:tab w:val="left" w:pos="1627" w:leader="none"/>
      </w:tabs>
      <w:spacing w:before="240" w:after="240"/>
      <w:ind w:hanging="0" w:start="720" w:end="0"/>
    </w:pPr>
    <w:rPr>
      <w:rFonts w:ascii="Courier New" w:hAnsi="Courier New" w:cs="Courier New"/>
    </w:rPr>
  </w:style>
  <w:style w:type="paragraph" w:styleId="ClientIndented">
    <w:name w:val="Client Indented"/>
    <w:basedOn w:val="Normal"/>
    <w:qFormat/>
    <w:pPr>
      <w:keepNext w:val="true"/>
      <w:ind w:hanging="0" w:start="5040" w:end="0"/>
    </w:pPr>
    <w:rPr>
      <w:rFonts w:ascii="Courier New" w:hAnsi="Courier New" w:cs="Courier New"/>
    </w:rPr>
  </w:style>
  <w:style w:type="paragraph" w:styleId="TOC3">
    <w:name w:val="toc 3"/>
    <w:basedOn w:val="TOC2"/>
    <w:next w:val="Normal"/>
    <w:pPr>
      <w:ind w:hanging="720" w:start="1008" w:end="792"/>
    </w:pPr>
    <w:rPr/>
  </w:style>
  <w:style w:type="paragraph" w:styleId="TOC4">
    <w:name w:val="toc 4"/>
    <w:basedOn w:val="TOC3"/>
    <w:next w:val="Normal"/>
    <w:pPr>
      <w:ind w:hanging="720" w:start="1368" w:end="792"/>
    </w:pPr>
    <w:rPr/>
  </w:style>
  <w:style w:type="paragraph" w:styleId="TOC5">
    <w:name w:val="toc 5"/>
    <w:basedOn w:val="TOC4"/>
    <w:next w:val="Normal"/>
    <w:pPr>
      <w:ind w:hanging="720" w:start="1728" w:end="792"/>
    </w:pPr>
    <w:rPr/>
  </w:style>
  <w:style w:type="paragraph" w:styleId="TOC6">
    <w:name w:val="toc 6"/>
    <w:basedOn w:val="TOC5"/>
    <w:next w:val="Normal"/>
    <w:pPr>
      <w:ind w:hanging="720" w:start="2088" w:end="792"/>
    </w:pPr>
    <w:rPr/>
  </w:style>
  <w:style w:type="paragraph" w:styleId="TOC7">
    <w:name w:val="toc 7"/>
    <w:basedOn w:val="TOC6"/>
    <w:next w:val="Normal"/>
    <w:pPr>
      <w:ind w:hanging="720" w:start="2448" w:end="792"/>
    </w:pPr>
    <w:rPr/>
  </w:style>
  <w:style w:type="paragraph" w:styleId="TOC8">
    <w:name w:val="toc 8"/>
    <w:basedOn w:val="TOC7"/>
    <w:next w:val="Normal"/>
    <w:pPr>
      <w:ind w:hanging="720" w:start="2808" w:end="792"/>
    </w:pPr>
    <w:rPr/>
  </w:style>
  <w:style w:type="paragraph" w:styleId="TOC9">
    <w:name w:val="toc 9"/>
    <w:basedOn w:val="TOC8"/>
    <w:next w:val="Normal"/>
    <w:pPr>
      <w:ind w:hanging="720" w:start="3168" w:end="792"/>
    </w:pPr>
    <w:rPr/>
  </w:style>
  <w:style w:type="paragraph" w:styleId="TableofAuthorities">
    <w:name w:val="Table of Authorities"/>
    <w:basedOn w:val="Normal"/>
    <w:next w:val="Normal"/>
    <w:qFormat/>
    <w:pPr>
      <w:tabs>
        <w:tab w:val="clear" w:pos="720"/>
        <w:tab w:val="right" w:pos="9360" w:leader="dot"/>
      </w:tabs>
      <w:ind w:hanging="240" w:start="240" w:end="0"/>
    </w:pPr>
    <w:rPr/>
  </w:style>
  <w:style w:type="paragraph" w:styleId="BodyText1">
    <w:name w:val="Body Text #"/>
    <w:basedOn w:val="BodyText"/>
    <w:qFormat/>
    <w:pPr>
      <w:numPr>
        <w:ilvl w:val="0"/>
        <w:numId w:val="3"/>
      </w:numPr>
      <w:jc w:val="both"/>
    </w:pPr>
    <w:rPr/>
  </w:style>
  <w:style w:type="paragraph" w:styleId="CenterTitle">
    <w:name w:val="Center Title"/>
    <w:basedOn w:val="Normal"/>
    <w:next w:val="BodyText"/>
    <w:qFormat/>
    <w:pPr>
      <w:keepNext w:val="true"/>
      <w:spacing w:lineRule="exact" w:line="480"/>
      <w:jc w:val="center"/>
    </w:pPr>
    <w:rPr>
      <w:b/>
      <w:caps/>
    </w:rPr>
  </w:style>
  <w:style w:type="paragraph" w:styleId="BodyTexta">
    <w:name w:val="Body Text (a)"/>
    <w:basedOn w:val="BodyText"/>
    <w:qFormat/>
    <w:pPr>
      <w:numPr>
        <w:ilvl w:val="0"/>
        <w:numId w:val="4"/>
      </w:numPr>
      <w:tabs>
        <w:tab w:val="clear" w:pos="720"/>
        <w:tab w:val="left" w:pos="1800" w:leader="none"/>
      </w:tabs>
      <w:ind w:firstLine="1170" w:start="0" w:end="0"/>
    </w:pPr>
    <w:rPr/>
  </w:style>
  <w:style w:type="paragraph" w:styleId="BodyTextNo">
    <w:name w:val="Body Text No#"/>
    <w:basedOn w:val="BodyText1"/>
    <w:next w:val="BodyText1"/>
    <w:qFormat/>
    <w:pPr/>
    <w:rPr/>
  </w:style>
  <w:style w:type="paragraph" w:styleId="CenterTitle1">
    <w:name w:val="CenterTitle"/>
    <w:basedOn w:val="BodyText"/>
    <w:next w:val="BodyText"/>
    <w:qFormat/>
    <w:pPr>
      <w:keepNext w:val="true"/>
      <w:ind w:hanging="0" w:start="0" w:end="0"/>
      <w:jc w:val="center"/>
    </w:pPr>
    <w:rPr>
      <w:b/>
    </w:rPr>
  </w:style>
  <w:style w:type="paragraph" w:styleId="Level2">
    <w:name w:val="Level 2"/>
    <w:basedOn w:val="Normal"/>
    <w:qFormat/>
    <w:pPr/>
    <w:rPr/>
  </w:style>
  <w:style w:type="paragraph" w:styleId="Level3">
    <w:name w:val="Level 3"/>
    <w:basedOn w:val="Normal"/>
    <w:qFormat/>
    <w:pPr/>
    <w:rPr/>
  </w:style>
  <w:style w:type="paragraph" w:styleId="Level4">
    <w:name w:val="Level 4"/>
    <w:basedOn w:val="Normal"/>
    <w:qFormat/>
    <w:pPr/>
    <w:rPr/>
  </w:style>
  <w:style w:type="paragraph" w:styleId="Level5">
    <w:name w:val="Level 5"/>
    <w:basedOn w:val="Normal"/>
    <w:qFormat/>
    <w:pPr/>
    <w:rPr/>
  </w:style>
  <w:style w:type="paragraph" w:styleId="ClientIndentedNoBy">
    <w:name w:val="Client Indented NoBy"/>
    <w:basedOn w:val="ClientIndented"/>
    <w:qFormat/>
    <w:pPr>
      <w:ind w:hanging="0" w:start="4680" w:end="0"/>
    </w:pPr>
    <w:rPr/>
  </w:style>
  <w:style w:type="paragraph" w:styleId="Closing">
    <w:name w:val="Closing"/>
    <w:basedOn w:val="Normal"/>
    <w:qFormat/>
    <w:pPr>
      <w:ind w:hanging="0" w:start="4320" w:end="0"/>
    </w:pPr>
    <w:rPr>
      <w:rFonts w:ascii="Courier New" w:hAnsi="Courier New" w:cs="Courier New"/>
    </w:rPr>
  </w:style>
  <w:style w:type="paragraph" w:styleId="Index1">
    <w:name w:val="index 1"/>
    <w:basedOn w:val="Normal"/>
    <w:next w:val="Normal"/>
    <w:pPr>
      <w:tabs>
        <w:tab w:val="clear" w:pos="720"/>
        <w:tab w:val="right" w:pos="9792" w:leader="dot"/>
      </w:tabs>
      <w:ind w:hanging="240" w:start="240" w:end="0"/>
    </w:pPr>
    <w:rPr>
      <w:rFonts w:ascii="Courier New" w:hAnsi="Courier New" w:cs="Courier New"/>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Arial" w:hAnsi="Arial" w:eastAsia="Times New Roman" w:cs="Arial"/>
      <w:color w:val="auto"/>
      <w:sz w:val="20"/>
      <w:szCs w:val="20"/>
      <w:lang w:val="en-US" w:eastAsia="zh-CN" w:bidi="hi-IN"/>
    </w:rPr>
  </w:style>
  <w:style w:type="paragraph" w:styleId="BlockQuotation">
    <w:name w:val="Block Quotation"/>
    <w:basedOn w:val="Normal"/>
    <w:next w:val="BodyText"/>
    <w:qFormat/>
    <w:pPr>
      <w:shd w:fill="auto" w:val="clear"/>
      <w:spacing w:lineRule="auto" w:line="240" w:before="0" w:after="240"/>
      <w:ind w:hanging="0" w:start="600" w:end="600"/>
      <w:jc w:val="both"/>
    </w:pPr>
    <w:rPr>
      <w:rFonts w:ascii="Garamond" w:hAnsi="Garamond" w:cs="Garamond"/>
      <w:spacing w:val="-5"/>
    </w:rPr>
  </w:style>
  <w:style w:type="paragraph" w:styleId="Icon1">
    <w:name w:val="Icon 1"/>
    <w:basedOn w:val="Normal"/>
    <w:qFormat/>
    <w:pPr>
      <w:shd w:fill="000000" w:val="clear"/>
      <w:spacing w:lineRule="auto" w:line="240"/>
      <w:jc w:val="center"/>
    </w:pPr>
    <w:rPr>
      <w:rFonts w:ascii="Wingdings" w:hAnsi="Wingdings" w:cs="Wingdings"/>
      <w:b/>
      <w:color w:val="FFFFFF"/>
      <w:sz w:val="96"/>
    </w:rPr>
  </w:style>
  <w:style w:type="paragraph" w:styleId="-PAGE-">
    <w:name w:val="- PAGE -"/>
    <w:qFormat/>
    <w:pPr>
      <w:widowControl/>
      <w:bidi w:val="0"/>
    </w:pPr>
    <w:rPr>
      <w:rFonts w:ascii="Times New Roman" w:hAnsi="Times New Roman" w:eastAsia="Times New Roman" w:cs="Times New Roman"/>
      <w:color w:val="auto"/>
      <w:sz w:val="20"/>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2001-02-08T05:11:00Z</dcterms:created>
  <dc:creator>JHE1</dc:creator>
  <dc:description/>
  <dc:language>en-CA</dc:language>
  <cp:lastModifiedBy>Janis E. Price</cp:lastModifiedBy>
  <cp:lastPrinted>2001-02-08T15:02:00Z</cp:lastPrinted>
  <dcterms:modified xsi:type="dcterms:W3CDTF">2001-02-08T20:35:00Z</dcterms:modified>
  <cp:revision>27</cp:revision>
  <dc:subject/>
  <dc:title>Morrison &amp; Foerster Pleading Template version 3.0</dc:title>
</cp:coreProperties>
</file>