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w:t>
      </w:r>
      <w:r>
        <w:rPr>
          <w:b/>
        </w:rPr>
        <w:t>Interim Opinion Regarding Rate Design,”</w:t>
      </w:r>
      <w:r>
        <w:rPr>
          <w:rStyle w:val="FootnoteCharacters"/>
          <w:rStyle w:val="FootnoteReference"/>
          <w:b/>
        </w:rPr>
        <w:footnoteReference w:id="2"/>
      </w:r>
      <w:r>
        <w:rPr>
          <w:b/>
        </w:rPr>
        <w:t xml:space="preserve"> Decision 01-05-064 </w:t>
      </w:r>
    </w:p>
    <w:p>
      <w:pPr>
        <w:pStyle w:val="Normal"/>
        <w:rPr>
          <w:b/>
        </w:rPr>
      </w:pPr>
      <w:r>
        <w:rPr>
          <w:b/>
        </w:rPr>
      </w:r>
    </w:p>
    <w:p>
      <w:pPr>
        <w:pStyle w:val="Normal"/>
        <w:jc w:val="both"/>
        <w:rPr/>
      </w:pPr>
      <w:r>
        <w:rPr>
          <w:b/>
        </w:rPr>
        <w:t xml:space="preserve">1. (p. 5) </w:t>
      </w:r>
      <w:r>
        <w:rPr/>
        <w:t>After accounting for the necessary adjustments  – (1) permitting recovery of the lost revenue from March 27</w:t>
      </w:r>
      <w:r>
        <w:rPr>
          <w:vertAlign w:val="superscript"/>
        </w:rPr>
        <w:t>th</w:t>
      </w:r>
      <w:r>
        <w:rPr/>
        <w:t xml:space="preserve"> to June 1</w:t>
      </w:r>
      <w:r>
        <w:rPr>
          <w:vertAlign w:val="superscript"/>
        </w:rPr>
        <w:t>st</w:t>
      </w:r>
      <w:r>
        <w:rPr/>
        <w:t>; (2) exempting all CARE customers from the rate increase; (3) exempting residential usage below 130% of baseline; and (4) capping rates for agricultural customers – the average increase is 4.51 cents per kWh.</w:t>
      </w:r>
    </w:p>
    <w:p>
      <w:pPr>
        <w:pStyle w:val="Normal"/>
        <w:jc w:val="both"/>
        <w:rPr/>
      </w:pPr>
      <w:r>
        <w:rPr/>
      </w:r>
    </w:p>
    <w:p>
      <w:pPr>
        <w:pStyle w:val="Normal"/>
        <w:jc w:val="both"/>
        <w:rPr/>
      </w:pPr>
      <w:r>
        <w:rPr>
          <w:b/>
        </w:rPr>
        <w:t>2. (p. 16)</w:t>
      </w:r>
      <w:r>
        <w:rPr/>
        <w:t xml:space="preserve"> The revenue allocation and rate design adopted in decision applies solely to the three cent increase; for the purposed of determining revenue requirement, the three cents is applied to all sales (even those exempted from the rate increase). </w:t>
      </w:r>
    </w:p>
    <w:p>
      <w:pPr>
        <w:pStyle w:val="Normal"/>
        <w:jc w:val="both"/>
        <w:rPr/>
      </w:pPr>
      <w:r>
        <w:rPr/>
      </w:r>
    </w:p>
    <w:p>
      <w:pPr>
        <w:pStyle w:val="Normal"/>
        <w:jc w:val="both"/>
        <w:rPr/>
      </w:pPr>
      <w:r>
        <w:rPr>
          <w:b/>
        </w:rPr>
        <w:t xml:space="preserve">3. (p. 23) </w:t>
      </w:r>
      <w:r>
        <w:rPr/>
        <w:t>Allocation of revenue requirement to each customer class based on the total units of energy each class is forecast to consume during calendar year 2001 (equal cents per kWh)</w:t>
      </w:r>
    </w:p>
    <w:p>
      <w:pPr>
        <w:pStyle w:val="Normal"/>
        <w:jc w:val="both"/>
        <w:rPr/>
      </w:pPr>
      <w:r>
        <w:rPr/>
      </w:r>
    </w:p>
    <w:p>
      <w:pPr>
        <w:pStyle w:val="Normal"/>
        <w:jc w:val="both"/>
        <w:rPr/>
      </w:pPr>
      <w:r>
        <w:rPr>
          <w:b/>
        </w:rPr>
        <w:t>4. (p. 16)</w:t>
      </w:r>
      <w:r>
        <w:rPr/>
        <w:t xml:space="preserve"> The shortfall from the 130% of baseline exemption for residential customers is to be allocated equally to all three major customer groups, </w:t>
      </w:r>
      <w:r>
        <w:rPr>
          <w:i/>
        </w:rPr>
        <w:t>i.e.,</w:t>
      </w:r>
      <w:r>
        <w:rPr/>
        <w:t xml:space="preserve"> one-third residential, one-third commercial, one-third industrial.</w:t>
      </w:r>
    </w:p>
    <w:p>
      <w:pPr>
        <w:pStyle w:val="Normal"/>
        <w:jc w:val="both"/>
        <w:rPr/>
      </w:pPr>
      <w:r>
        <w:rPr/>
      </w:r>
    </w:p>
    <w:p>
      <w:pPr>
        <w:pStyle w:val="Normal"/>
        <w:jc w:val="both"/>
        <w:rPr/>
      </w:pPr>
      <w:r>
        <w:rPr>
          <w:b/>
        </w:rPr>
        <w:t>5. (p. 27)</w:t>
      </w:r>
      <w:r>
        <w:rPr/>
        <w:t xml:space="preserve"> A cap on the average rate increases to be applied to industrial class is imposed, such that for PG&amp;E, the average rate increase cap for industrial customers will be 12.3 cent/kWh, and for SCE it will be 12.9 cent/kWh </w:t>
        <w:tab/>
        <w:t xml:space="preserve">  </w:t>
      </w:r>
    </w:p>
    <w:p>
      <w:pPr>
        <w:pStyle w:val="Normal"/>
        <w:jc w:val="both"/>
        <w:rPr/>
      </w:pPr>
      <w:r>
        <w:rPr/>
      </w:r>
    </w:p>
    <w:p>
      <w:pPr>
        <w:pStyle w:val="Normal"/>
        <w:jc w:val="both"/>
        <w:rPr/>
      </w:pPr>
      <w:r>
        <w:rPr>
          <w:b/>
        </w:rPr>
        <w:t>6. (p. 28)</w:t>
      </w:r>
      <w:r>
        <w:rPr/>
        <w:t xml:space="preserve"> The shortfall caused by exempting CARE customers is to be allocated to all sales other than sales subject to CARE and residential customers with usage less than 130% of baseline; medical baseline customers are to be exempted from the rate increase, with the shortfall allocated equally to all customer classes (SCE given until September 1 to implement the exemption for medical baseline customers).</w:t>
      </w:r>
    </w:p>
    <w:p>
      <w:pPr>
        <w:pStyle w:val="Normal"/>
        <w:jc w:val="both"/>
        <w:rPr/>
      </w:pPr>
      <w:r>
        <w:rPr/>
      </w:r>
    </w:p>
    <w:p>
      <w:pPr>
        <w:pStyle w:val="Normal"/>
        <w:jc w:val="both"/>
        <w:rPr/>
      </w:pPr>
      <w:r>
        <w:rPr>
          <w:b/>
        </w:rPr>
        <w:t>7. (p. 29)</w:t>
      </w:r>
      <w:r>
        <w:rPr/>
        <w:t xml:space="preserve"> Direct access customers will not be required to pay any of the rate increase; Commission intends to “reexamine and redesign the direct access credit system to reflect current structural reality” (</w:t>
      </w:r>
      <w:r>
        <w:rPr>
          <w:i/>
        </w:rPr>
        <w:t>i.e.,</w:t>
      </w:r>
      <w:r>
        <w:rPr/>
        <w:t xml:space="preserve"> want to make sure that if DA customers are not paying the rate increase that they do not get the increase back in the DA credit). Revenue shortfall resulting from not charging rate increase to DA customers is to be allocated on an equal cents/kWh basis to all non-exempt sales. </w:t>
      </w:r>
    </w:p>
    <w:p>
      <w:pPr>
        <w:pStyle w:val="Normal"/>
        <w:jc w:val="both"/>
        <w:rPr/>
      </w:pPr>
      <w:r>
        <w:rPr/>
      </w:r>
    </w:p>
    <w:p>
      <w:pPr>
        <w:pStyle w:val="Normal"/>
        <w:jc w:val="both"/>
        <w:rPr/>
      </w:pPr>
      <w:r>
        <w:rPr>
          <w:b/>
        </w:rPr>
        <w:t>8. (p. 31)</w:t>
      </w:r>
      <w:r>
        <w:rPr/>
        <w:t xml:space="preserve"> Revenue associated with applying three cent surcharge to all no exempt energy sales from March 27 to June 1 will be added to the UDCs’ revenue requirements and amortized over 12 months.</w:t>
      </w:r>
      <w:r>
        <w:rPr>
          <w:b/>
        </w:rPr>
        <w:t>[note -  the decision did not make Enron’s clarifying change of ensuring that the additional revenue requirement is removed from rates after 12 months]</w:t>
      </w:r>
      <w:r>
        <w:rPr/>
        <w:t xml:space="preserve">  </w:t>
      </w:r>
    </w:p>
    <w:p>
      <w:pPr>
        <w:pStyle w:val="Normal"/>
        <w:jc w:val="both"/>
        <w:rPr/>
      </w:pPr>
      <w:r>
        <w:rPr/>
      </w:r>
    </w:p>
    <w:p>
      <w:pPr>
        <w:pStyle w:val="Normal"/>
        <w:jc w:val="both"/>
        <w:rPr/>
      </w:pPr>
      <w:r>
        <w:rPr>
          <w:b/>
        </w:rPr>
        <w:t xml:space="preserve">9.  (p.32) </w:t>
      </w:r>
      <w:r>
        <w:rPr/>
        <w:t>Will not force commercial customers onto TOU rate schedules; however, customers that take advantage of the metering program offered by the CEC should be able to do so only if they also agree to shift to TOU rates.</w:t>
      </w:r>
    </w:p>
    <w:p>
      <w:pPr>
        <w:pStyle w:val="Normal"/>
        <w:rPr/>
      </w:pPr>
      <w:r>
        <w:rPr/>
      </w:r>
    </w:p>
    <w:p>
      <w:pPr>
        <w:pStyle w:val="Normal"/>
        <w:jc w:val="both"/>
        <w:rPr/>
      </w:pPr>
      <w:r>
        <w:rPr>
          <w:b/>
        </w:rPr>
        <w:t>10. (p. 33)</w:t>
      </w:r>
      <w:r>
        <w:rPr/>
        <w:t xml:space="preserve"> Declined to change definition for AG customers to include agricultural commodity ood processors</w:t>
      </w:r>
    </w:p>
    <w:p>
      <w:pPr>
        <w:pStyle w:val="Normal"/>
        <w:jc w:val="both"/>
        <w:rPr/>
      </w:pPr>
      <w:r>
        <w:rPr/>
      </w:r>
    </w:p>
    <w:p>
      <w:pPr>
        <w:pStyle w:val="Normal"/>
        <w:jc w:val="both"/>
        <w:rPr/>
      </w:pPr>
      <w:r>
        <w:rPr>
          <w:b/>
        </w:rPr>
        <w:t xml:space="preserve">11. (p. 34) </w:t>
      </w:r>
      <w:r>
        <w:rPr/>
        <w:t>All customers should be protected by bill limiters – 300% for all customers with the exception of AG (250%).; under collections resulting from the bill limiters should be allocated in the same manner as the shortfalls from the CARE and 130% of baseline exemptions.</w:t>
      </w:r>
      <w:r>
        <w:rPr>
          <w:b/>
        </w:rPr>
        <w:t xml:space="preserve"> [note – Three Cmmrs. have expressed concern with the bill limiter concept.   Therefore, there will probably be some proposal made to eliminate them]</w:t>
      </w:r>
    </w:p>
    <w:p>
      <w:pPr>
        <w:pStyle w:val="Normal"/>
        <w:jc w:val="both"/>
        <w:rPr>
          <w:b/>
        </w:rPr>
      </w:pPr>
      <w:r>
        <w:rPr>
          <w:b/>
        </w:rPr>
      </w:r>
    </w:p>
    <w:p>
      <w:pPr>
        <w:pStyle w:val="Normal"/>
        <w:jc w:val="both"/>
        <w:rPr/>
      </w:pPr>
      <w:r>
        <w:rPr>
          <w:b/>
        </w:rPr>
        <w:t xml:space="preserve">12. (p. 35) </w:t>
      </w:r>
      <w:r>
        <w:rPr/>
        <w:t xml:space="preserve">Five tiers for residential rate design.  No increase for tiers one and two.  Increase between tier three and four double that between two and three.  Tier five increase sufficient to allow recovery of residual residential revenue requirement    </w:t>
      </w:r>
    </w:p>
    <w:p>
      <w:pPr>
        <w:pStyle w:val="Normal"/>
        <w:jc w:val="both"/>
        <w:rPr/>
      </w:pPr>
      <w:r>
        <w:rPr/>
      </w:r>
    </w:p>
    <w:p>
      <w:pPr>
        <w:pStyle w:val="Normal"/>
        <w:jc w:val="both"/>
        <w:rPr/>
      </w:pPr>
      <w:r>
        <w:rPr>
          <w:b/>
        </w:rPr>
        <w:t>13. (p. 38)</w:t>
      </w:r>
      <w:r>
        <w:rPr/>
        <w:t xml:space="preserve"> Declined to adopt  tiered rated for commercial/industrial customers at this time; designing new tiered rates presents implementation hurdles for UDCs, punishes larger customers to the benefit of smaller, without regards to efficiency, and not enough time for an educational program.</w:t>
      </w:r>
    </w:p>
    <w:p>
      <w:pPr>
        <w:pStyle w:val="Normal"/>
        <w:jc w:val="both"/>
        <w:rPr/>
      </w:pPr>
      <w:r>
        <w:rPr/>
      </w:r>
    </w:p>
    <w:p>
      <w:pPr>
        <w:pStyle w:val="Normal"/>
        <w:jc w:val="both"/>
        <w:rPr/>
      </w:pPr>
      <w:r>
        <w:rPr>
          <w:b/>
        </w:rPr>
        <w:t>14. (p. 40)</w:t>
      </w:r>
      <w:r>
        <w:rPr/>
        <w:t xml:space="preserve"> For commercial and industrial non-TOU customers, adopted ORA proposal (70% of the revenue requirement allocated to summer period and 30% to winter.</w:t>
      </w:r>
    </w:p>
    <w:p>
      <w:pPr>
        <w:pStyle w:val="Normal"/>
        <w:jc w:val="both"/>
        <w:rPr/>
      </w:pPr>
      <w:r>
        <w:rPr/>
      </w:r>
    </w:p>
    <w:p>
      <w:pPr>
        <w:pStyle w:val="Normal"/>
        <w:jc w:val="both"/>
        <w:rPr/>
      </w:pPr>
      <w:r>
        <w:rPr>
          <w:b/>
        </w:rPr>
        <w:t>15. (p. 41)</w:t>
      </w:r>
      <w:r>
        <w:rPr/>
        <w:t xml:space="preserve"> For TOU Rate Schedules, adopted approach that spreads the rate increase over all hours, with the differential between on and off peak usage increased (but not to the degree in which customers within the class will be exposed to excessive on-peak prices).</w:t>
      </w:r>
    </w:p>
    <w:p>
      <w:pPr>
        <w:pStyle w:val="Normal"/>
        <w:jc w:val="both"/>
        <w:rPr/>
      </w:pPr>
      <w:r>
        <w:rPr/>
      </w:r>
    </w:p>
    <w:p>
      <w:pPr>
        <w:pStyle w:val="Normal"/>
        <w:jc w:val="both"/>
        <w:rPr/>
      </w:pPr>
      <w:r>
        <w:rPr>
          <w:b/>
        </w:rPr>
        <w:t>16. (p. 42)</w:t>
      </w:r>
      <w:r>
        <w:rPr/>
        <w:t xml:space="preserve"> Orders UDCs to file, within thirty days, proposals with respect to charging federal agencies and facilities so that (a) federal facilities with real time meters will be charged real time prices; (2) federal facilities with interval meters will charged the average price over the interval; and (c) federal facilities without interval meters will be charged the monthly average wholesale rate for electricity. </w:t>
      </w:r>
    </w:p>
    <w:p>
      <w:pPr>
        <w:pStyle w:val="Normal"/>
        <w:jc w:val="both"/>
        <w:rPr/>
      </w:pPr>
      <w:r>
        <w:rPr/>
      </w:r>
    </w:p>
    <w:p>
      <w:pPr>
        <w:pStyle w:val="Normal"/>
        <w:jc w:val="both"/>
        <w:rPr/>
      </w:pPr>
      <w:r>
        <w:rPr>
          <w:b/>
        </w:rPr>
        <w:t>17. (p. 45)</w:t>
      </w:r>
      <w:r>
        <w:rPr/>
        <w:t xml:space="preserve"> Agricultural rates are capped at 15% for non-time of use and 20% for time of use customers. </w:t>
      </w:r>
    </w:p>
    <w:p>
      <w:pPr>
        <w:pStyle w:val="Normal"/>
        <w:jc w:val="both"/>
        <w:rPr/>
      </w:pPr>
      <w:r>
        <w:rPr/>
      </w:r>
    </w:p>
    <w:p>
      <w:pPr>
        <w:pStyle w:val="Normal"/>
        <w:jc w:val="both"/>
        <w:rPr/>
      </w:pPr>
      <w:r>
        <w:rPr>
          <w:b/>
        </w:rPr>
        <w:t>18. (p. 53)</w:t>
      </w:r>
      <w:r>
        <w:rPr/>
        <w:t xml:space="preserve"> In discussing the manner in which the bill should be presented to customers, the order states  that “it is now possible for Edison and PG&amp;E to specifically state on each customer’s bill the customer’s energy charges (including the three cent surcharge and its amortization). We will order them to do so.” </w:t>
      </w:r>
      <w:r>
        <w:rPr>
          <w:b/>
        </w:rPr>
        <w:t>[note - this may address the issue we raised in comments]</w:t>
      </w:r>
    </w:p>
    <w:p>
      <w:pPr>
        <w:pStyle w:val="Normal"/>
        <w:jc w:val="both"/>
        <w:rPr>
          <w:b/>
        </w:rPr>
      </w:pPr>
      <w:r>
        <w:rPr>
          <w:b/>
        </w:rPr>
      </w:r>
    </w:p>
    <w:p>
      <w:pPr>
        <w:pStyle w:val="Normal"/>
        <w:jc w:val="both"/>
        <w:rPr/>
      </w:pPr>
      <w:r>
        <w:rPr>
          <w:b/>
        </w:rPr>
        <w:t xml:space="preserve"> </w:t>
      </w:r>
      <w:r>
        <w:rPr>
          <w:b/>
        </w:rPr>
        <w:t xml:space="preserve">19. (p. 54) </w:t>
      </w:r>
      <w:r>
        <w:rPr/>
        <w:t xml:space="preserve">Anticipate adopting a voluntary real time pricing program that will be available to customers when their CEC interval meters are installed (by the end of the summer). </w:t>
      </w:r>
    </w:p>
    <w:p>
      <w:pPr>
        <w:pStyle w:val="Normal"/>
        <w:rPr/>
      </w:pPr>
      <w:r>
        <w:rPr/>
      </w:r>
    </w:p>
    <w:p>
      <w:pPr>
        <w:pStyle w:val="Normal"/>
        <w:spacing w:lineRule="exact" w:line="200" w:before="240" w:after="0"/>
        <w:rPr/>
      </w:pPr>
      <w:r>
        <w:rPr>
          <w:rStyle w:val="zzmpTrailerItem"/>
        </w:rPr>
        <w:t>2704/147/X24583-1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The order states (p. 10) that the Commission “intend to fine-tune these rate charges and categories through additional proceedings by July.”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458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2001-05-15T22:56:00Z</dcterms:created>
  <dc:creator>JMB</dc:creator>
  <dc:description/>
  <dc:language>en-CA</dc:language>
  <cp:lastModifiedBy>JMB</cp:lastModifiedBy>
  <dcterms:modified xsi:type="dcterms:W3CDTF">2001-05-15T22:56:00Z</dcterms:modified>
  <cp:revision>3</cp:revision>
  <dc:subject/>
  <dc:title>Summary of final RD Decision -2  (X24583.DOC;1)</dc:title>
</cp:coreProperties>
</file>