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22"/>
          <w:szCs w:val="22"/>
          <w:u w:val="single"/>
        </w:rPr>
      </w:pPr>
      <w:r>
        <w:rPr>
          <w:b/>
          <w:bCs/>
          <w:sz w:val="22"/>
          <w:szCs w:val="22"/>
          <w:u w:val="single"/>
        </w:rPr>
        <w:t>ENRON INTERNAL TALKING POINTS</w:t>
      </w:r>
    </w:p>
    <w:p>
      <w:pPr>
        <w:pStyle w:val="Normal"/>
        <w:jc w:val="center"/>
        <w:rPr>
          <w:b/>
          <w:bCs/>
          <w:sz w:val="22"/>
          <w:szCs w:val="22"/>
          <w:u w:val="single"/>
        </w:rPr>
      </w:pPr>
      <w:r>
        <w:rPr>
          <w:b/>
          <w:bCs/>
          <w:sz w:val="22"/>
          <w:szCs w:val="22"/>
          <w:u w:val="single"/>
        </w:rPr>
        <w:t>FOR FERC STAFF VISIT – DEC. 7, 2000</w:t>
      </w:r>
    </w:p>
    <w:p>
      <w:pPr>
        <w:pStyle w:val="Normal"/>
        <w:jc w:val="both"/>
        <w:rPr>
          <w:b/>
          <w:bCs/>
          <w:sz w:val="22"/>
          <w:szCs w:val="22"/>
          <w:u w:val="single"/>
        </w:rPr>
      </w:pPr>
      <w:r>
        <w:rPr>
          <w:b/>
          <w:bCs/>
          <w:sz w:val="22"/>
          <w:szCs w:val="22"/>
          <w:u w:val="single"/>
        </w:rPr>
      </w:r>
    </w:p>
    <w:p>
      <w:pPr>
        <w:pStyle w:val="Normal"/>
        <w:jc w:val="both"/>
        <w:rPr>
          <w:b/>
          <w:bCs/>
          <w:sz w:val="22"/>
          <w:szCs w:val="22"/>
          <w:u w:val="single"/>
        </w:rPr>
      </w:pPr>
      <w:r>
        <w:rPr>
          <w:b/>
          <w:bCs/>
          <w:sz w:val="22"/>
          <w:szCs w:val="22"/>
          <w:u w:val="single"/>
        </w:rPr>
        <w:t>FERC Staff Visit to Power Trading Floor and Lunch with Enron Executives</w:t>
      </w:r>
    </w:p>
    <w:p>
      <w:pPr>
        <w:pStyle w:val="Normal"/>
        <w:jc w:val="both"/>
        <w:rPr>
          <w:b/>
          <w:bCs/>
          <w:sz w:val="22"/>
          <w:szCs w:val="22"/>
          <w:u w:val="single"/>
        </w:rPr>
      </w:pPr>
      <w:r>
        <w:rPr>
          <w:b/>
          <w:bCs/>
          <w:sz w:val="22"/>
          <w:szCs w:val="22"/>
          <w:u w:val="single"/>
        </w:rPr>
      </w:r>
    </w:p>
    <w:p>
      <w:pPr>
        <w:pStyle w:val="Normal"/>
        <w:numPr>
          <w:ilvl w:val="0"/>
          <w:numId w:val="1"/>
        </w:numPr>
        <w:tabs>
          <w:tab w:val="clear" w:pos="720"/>
          <w:tab w:val="left" w:pos="0" w:leader="none"/>
        </w:tabs>
        <w:ind w:hanging="360" w:start="720" w:end="0"/>
        <w:jc w:val="both"/>
        <w:rPr>
          <w:sz w:val="22"/>
          <w:szCs w:val="22"/>
        </w:rPr>
      </w:pPr>
      <w:r>
        <w:rPr>
          <w:sz w:val="22"/>
          <w:szCs w:val="22"/>
        </w:rPr>
        <w:t>Purpose of FERC Staff-requested visit to Enron (Dynegy and El Paso in the afternoon) is to view EPMI’s computer systems dealing with third party-offered power transmission on OASIS in order to possibly create computer systems for FERC use.</w:t>
      </w:r>
    </w:p>
    <w:p>
      <w:pPr>
        <w:pStyle w:val="Normal"/>
        <w:jc w:val="both"/>
        <w:rPr>
          <w:sz w:val="22"/>
          <w:szCs w:val="22"/>
        </w:rPr>
      </w:pPr>
      <w:r>
        <w:rPr>
          <w:sz w:val="22"/>
          <w:szCs w:val="22"/>
        </w:rPr>
      </w:r>
    </w:p>
    <w:p>
      <w:pPr>
        <w:pStyle w:val="Normal"/>
        <w:numPr>
          <w:ilvl w:val="0"/>
          <w:numId w:val="2"/>
        </w:numPr>
        <w:tabs>
          <w:tab w:val="clear" w:pos="720"/>
          <w:tab w:val="left" w:pos="0" w:leader="none"/>
        </w:tabs>
        <w:ind w:hanging="360" w:start="720" w:end="0"/>
        <w:jc w:val="both"/>
        <w:rPr/>
      </w:pPr>
      <w:r>
        <w:rPr>
          <w:sz w:val="22"/>
          <w:szCs w:val="22"/>
        </w:rPr>
        <w:t>Scott Miller (who reports to Dan Larcamp) was in charge of the recently issued helpful FERC Staff Investigations in the Midwest and Southeast, which concluded generally that vertically integrated utilities (</w:t>
      </w:r>
      <w:r>
        <w:rPr>
          <w:sz w:val="22"/>
          <w:szCs w:val="22"/>
          <w:u w:val="single"/>
        </w:rPr>
        <w:t>even in RTOs)</w:t>
      </w:r>
      <w:r>
        <w:rPr>
          <w:sz w:val="22"/>
          <w:szCs w:val="22"/>
        </w:rPr>
        <w:t xml:space="preserve"> will continue to have incentives to benefit their own generation and to keep competitors from using the grid on a level playing field.  Therefore, Staff suggests that the Commission consider eliminating the native load exemption and have all transactions under the same tariff.</w:t>
      </w:r>
    </w:p>
    <w:p>
      <w:pPr>
        <w:pStyle w:val="Normal"/>
        <w:jc w:val="both"/>
        <w:rPr>
          <w:sz w:val="22"/>
          <w:szCs w:val="22"/>
        </w:rPr>
      </w:pPr>
      <w:r>
        <w:rPr>
          <w:sz w:val="22"/>
          <w:szCs w:val="22"/>
        </w:rPr>
      </w:r>
    </w:p>
    <w:p>
      <w:pPr>
        <w:pStyle w:val="Normal"/>
        <w:numPr>
          <w:ilvl w:val="0"/>
          <w:numId w:val="3"/>
        </w:numPr>
        <w:tabs>
          <w:tab w:val="clear" w:pos="720"/>
          <w:tab w:val="left" w:pos="0" w:leader="none"/>
        </w:tabs>
        <w:ind w:hanging="360" w:start="720" w:end="0"/>
        <w:jc w:val="both"/>
        <w:rPr>
          <w:sz w:val="22"/>
          <w:szCs w:val="22"/>
        </w:rPr>
      </w:pPr>
      <w:r>
        <w:rPr>
          <w:sz w:val="22"/>
          <w:szCs w:val="22"/>
        </w:rPr>
        <w:t>For the power markets to flourish with tighter spreads and more liquidity, need Fully Functioning Independent RTO with:</w:t>
      </w:r>
    </w:p>
    <w:p>
      <w:pPr>
        <w:pStyle w:val="Normal"/>
        <w:numPr>
          <w:ilvl w:val="0"/>
          <w:numId w:val="4"/>
        </w:numPr>
        <w:tabs>
          <w:tab w:val="clear" w:pos="720"/>
          <w:tab w:val="left" w:pos="0" w:leader="none"/>
        </w:tabs>
        <w:ind w:hanging="720" w:start="1440" w:end="0"/>
        <w:jc w:val="both"/>
        <w:rPr>
          <w:sz w:val="22"/>
          <w:szCs w:val="22"/>
        </w:rPr>
      </w:pPr>
      <w:r>
        <w:rPr>
          <w:sz w:val="22"/>
          <w:szCs w:val="22"/>
        </w:rPr>
        <w:t>Real Time Balancing Market with Hourly Clearing Prices (ISO/RTO has annual auction for bilateral contracts to serve ancillary services)</w:t>
      </w:r>
    </w:p>
    <w:p>
      <w:pPr>
        <w:pStyle w:val="Normal"/>
        <w:numPr>
          <w:ilvl w:val="0"/>
          <w:numId w:val="4"/>
        </w:numPr>
        <w:tabs>
          <w:tab w:val="clear" w:pos="720"/>
          <w:tab w:val="left" w:pos="0" w:leader="none"/>
        </w:tabs>
        <w:ind w:hanging="720" w:start="1440" w:end="0"/>
        <w:jc w:val="both"/>
        <w:rPr>
          <w:sz w:val="22"/>
          <w:szCs w:val="22"/>
        </w:rPr>
      </w:pPr>
      <w:r>
        <w:rPr>
          <w:sz w:val="22"/>
          <w:szCs w:val="22"/>
        </w:rPr>
        <w:t>Single Control Areas:  all market players have same scheduling rights into real time (can float entire position against the balancing market – “effectively” parking and lending)</w:t>
      </w:r>
    </w:p>
    <w:p>
      <w:pPr>
        <w:pStyle w:val="Normal"/>
        <w:numPr>
          <w:ilvl w:val="0"/>
          <w:numId w:val="4"/>
        </w:numPr>
        <w:tabs>
          <w:tab w:val="clear" w:pos="720"/>
          <w:tab w:val="left" w:pos="0" w:leader="none"/>
        </w:tabs>
        <w:ind w:hanging="720" w:start="1440" w:end="0"/>
        <w:jc w:val="both"/>
        <w:rPr/>
      </w:pPr>
      <w:r>
        <w:rPr>
          <w:sz w:val="22"/>
          <w:szCs w:val="22"/>
        </w:rPr>
        <w:t xml:space="preserve">Single Transmission Tariff:  load pays </w:t>
      </w:r>
      <w:r>
        <w:rPr>
          <w:sz w:val="22"/>
          <w:szCs w:val="22"/>
          <w:u w:val="single"/>
        </w:rPr>
        <w:t>all</w:t>
      </w:r>
      <w:r>
        <w:rPr>
          <w:sz w:val="22"/>
          <w:szCs w:val="22"/>
        </w:rPr>
        <w:t xml:space="preserve"> transmission costs</w:t>
      </w:r>
    </w:p>
    <w:p>
      <w:pPr>
        <w:pStyle w:val="Normal"/>
        <w:numPr>
          <w:ilvl w:val="0"/>
          <w:numId w:val="4"/>
        </w:numPr>
        <w:tabs>
          <w:tab w:val="clear" w:pos="720"/>
          <w:tab w:val="left" w:pos="0" w:leader="none"/>
        </w:tabs>
        <w:ind w:hanging="720" w:start="1440" w:end="0"/>
        <w:jc w:val="both"/>
        <w:rPr>
          <w:sz w:val="22"/>
          <w:szCs w:val="22"/>
        </w:rPr>
      </w:pPr>
      <w:r>
        <w:rPr>
          <w:sz w:val="22"/>
          <w:szCs w:val="22"/>
        </w:rPr>
        <w:t>No native load or network service</w:t>
      </w:r>
    </w:p>
    <w:p>
      <w:pPr>
        <w:pStyle w:val="Normal"/>
        <w:numPr>
          <w:ilvl w:val="0"/>
          <w:numId w:val="4"/>
        </w:numPr>
        <w:tabs>
          <w:tab w:val="clear" w:pos="720"/>
          <w:tab w:val="left" w:pos="0" w:leader="none"/>
        </w:tabs>
        <w:ind w:hanging="720" w:start="1440" w:end="0"/>
        <w:jc w:val="both"/>
        <w:rPr>
          <w:sz w:val="22"/>
          <w:szCs w:val="22"/>
        </w:rPr>
      </w:pPr>
      <w:r>
        <w:rPr>
          <w:sz w:val="22"/>
          <w:szCs w:val="22"/>
        </w:rPr>
        <w:t>Zonal Market for Energy/Balancing:  Zones are established at electrically significant constraints – allows for creation of hubs</w:t>
      </w:r>
    </w:p>
    <w:p>
      <w:pPr>
        <w:pStyle w:val="Normal"/>
        <w:numPr>
          <w:ilvl w:val="0"/>
          <w:numId w:val="4"/>
        </w:numPr>
        <w:tabs>
          <w:tab w:val="clear" w:pos="720"/>
          <w:tab w:val="left" w:pos="0" w:leader="none"/>
        </w:tabs>
        <w:ind w:hanging="720" w:start="1440" w:end="0"/>
        <w:jc w:val="both"/>
        <w:rPr>
          <w:sz w:val="22"/>
          <w:szCs w:val="22"/>
        </w:rPr>
      </w:pPr>
      <w:r>
        <w:rPr>
          <w:sz w:val="22"/>
          <w:szCs w:val="22"/>
        </w:rPr>
        <w:t>Market based congestion management:  independently administered by a separate ISO market function</w:t>
      </w:r>
    </w:p>
    <w:p>
      <w:pPr>
        <w:pStyle w:val="Normal"/>
        <w:numPr>
          <w:ilvl w:val="0"/>
          <w:numId w:val="4"/>
        </w:numPr>
        <w:tabs>
          <w:tab w:val="clear" w:pos="720"/>
          <w:tab w:val="left" w:pos="0" w:leader="none"/>
        </w:tabs>
        <w:ind w:hanging="720" w:start="1440" w:end="0"/>
        <w:jc w:val="both"/>
        <w:rPr>
          <w:sz w:val="22"/>
          <w:szCs w:val="22"/>
        </w:rPr>
      </w:pPr>
      <w:r>
        <w:rPr>
          <w:sz w:val="22"/>
          <w:szCs w:val="22"/>
        </w:rPr>
        <w:t>Day Ahead Market Function:  ISO load forecast creates demand curve; generation offers create supply curve (hourly)</w:t>
      </w:r>
    </w:p>
    <w:p>
      <w:pPr>
        <w:pStyle w:val="Normal"/>
        <w:numPr>
          <w:ilvl w:val="0"/>
          <w:numId w:val="4"/>
        </w:numPr>
        <w:tabs>
          <w:tab w:val="clear" w:pos="720"/>
          <w:tab w:val="left" w:pos="0" w:leader="none"/>
        </w:tabs>
        <w:ind w:hanging="360" w:start="1440" w:end="0"/>
        <w:jc w:val="both"/>
        <w:rPr>
          <w:sz w:val="22"/>
          <w:szCs w:val="22"/>
        </w:rPr>
      </w:pPr>
      <w:r>
        <w:rPr>
          <w:sz w:val="22"/>
          <w:szCs w:val="22"/>
        </w:rPr>
        <w:t>Open Information to all Market Participants (outages, supply curve, demand curve, interchange, etc.)</w:t>
      </w:r>
    </w:p>
    <w:p>
      <w:pPr>
        <w:pStyle w:val="Normal"/>
        <w:jc w:val="both"/>
        <w:rPr>
          <w:sz w:val="22"/>
          <w:szCs w:val="22"/>
        </w:rPr>
      </w:pPr>
      <w:r>
        <w:rPr>
          <w:sz w:val="22"/>
          <w:szCs w:val="22"/>
        </w:rPr>
      </w:r>
    </w:p>
    <w:p>
      <w:pPr>
        <w:pStyle w:val="Normal"/>
        <w:jc w:val="both"/>
        <w:rPr>
          <w:b/>
          <w:bCs/>
          <w:sz w:val="22"/>
          <w:szCs w:val="22"/>
          <w:u w:val="single"/>
        </w:rPr>
      </w:pPr>
      <w:r>
        <w:rPr>
          <w:b/>
          <w:bCs/>
          <w:sz w:val="22"/>
          <w:szCs w:val="22"/>
          <w:u w:val="single"/>
        </w:rPr>
        <w:t>EOL Issues {{Enron does not need to bring these up unless asked by FERC staff}}</w:t>
      </w:r>
    </w:p>
    <w:p>
      <w:pPr>
        <w:pStyle w:val="Normal"/>
        <w:jc w:val="both"/>
        <w:rPr>
          <w:b/>
          <w:bCs/>
          <w:sz w:val="22"/>
          <w:szCs w:val="22"/>
          <w:u w:val="single"/>
        </w:rPr>
      </w:pPr>
      <w:r>
        <w:rPr>
          <w:b/>
          <w:bCs/>
          <w:sz w:val="22"/>
          <w:szCs w:val="22"/>
          <w:u w:val="single"/>
        </w:rPr>
      </w:r>
    </w:p>
    <w:p>
      <w:pPr>
        <w:pStyle w:val="Normal"/>
        <w:numPr>
          <w:ilvl w:val="0"/>
          <w:numId w:val="5"/>
        </w:numPr>
        <w:tabs>
          <w:tab w:val="clear" w:pos="720"/>
          <w:tab w:val="left" w:pos="0" w:leader="none"/>
        </w:tabs>
        <w:ind w:hanging="720" w:start="720" w:end="0"/>
        <w:jc w:val="both"/>
        <w:rPr>
          <w:sz w:val="22"/>
          <w:szCs w:val="22"/>
        </w:rPr>
      </w:pPr>
      <w:r>
        <w:rPr>
          <w:sz w:val="22"/>
          <w:szCs w:val="22"/>
        </w:rPr>
        <w:t>The Enron Pipelines (Transwestern &amp; Northern Natural) began selling capacity on EOL this summer.</w:t>
      </w:r>
    </w:p>
    <w:p>
      <w:pPr>
        <w:pStyle w:val="Normal"/>
        <w:numPr>
          <w:ilvl w:val="0"/>
          <w:numId w:val="0"/>
        </w:numPr>
        <w:tabs>
          <w:tab w:val="clear" w:pos="720"/>
          <w:tab w:val="left" w:pos="360" w:leader="none"/>
        </w:tabs>
        <w:ind w:hanging="0" w:start="360" w:end="0"/>
        <w:jc w:val="both"/>
        <w:rPr>
          <w:sz w:val="22"/>
          <w:szCs w:val="22"/>
        </w:rPr>
      </w:pPr>
      <w:r>
        <w:rPr>
          <w:sz w:val="22"/>
          <w:szCs w:val="22"/>
        </w:rPr>
      </w:r>
    </w:p>
    <w:p>
      <w:pPr>
        <w:pStyle w:val="Normal"/>
        <w:numPr>
          <w:ilvl w:val="0"/>
          <w:numId w:val="5"/>
        </w:numPr>
        <w:tabs>
          <w:tab w:val="clear" w:pos="720"/>
          <w:tab w:val="left" w:pos="0" w:leader="none"/>
        </w:tabs>
        <w:ind w:hanging="360" w:start="720" w:end="0"/>
        <w:jc w:val="both"/>
        <w:rPr/>
      </w:pPr>
      <w:r>
        <w:rPr>
          <w:sz w:val="22"/>
          <w:szCs w:val="22"/>
        </w:rPr>
        <w:t xml:space="preserve">In order for the pipelines to sell capacity on EOL, the Enron pipelines had to explain to the FERC that </w:t>
      </w:r>
      <w:r>
        <w:rPr>
          <w:sz w:val="22"/>
          <w:szCs w:val="22"/>
          <w:u w:val="single"/>
        </w:rPr>
        <w:t>EOL is not an ENA system</w:t>
      </w:r>
      <w:r>
        <w:rPr>
          <w:sz w:val="22"/>
          <w:szCs w:val="22"/>
        </w:rPr>
        <w:t>, but a stand-alone trading platform.  Under the FERC's current marketing affiliate rules this means demonstrating that: (1) ENA and EOL do not share employees and (2) non-public data given to EOL for posting is not accessible to ENA.</w:t>
      </w:r>
      <w:r>
        <w:br w:type="page"/>
      </w:r>
    </w:p>
    <w:p>
      <w:pPr>
        <w:pStyle w:val="Normal"/>
        <w:ind w:firstLine="360" w:end="0"/>
        <w:rPr>
          <w:b/>
          <w:bCs/>
          <w:sz w:val="22"/>
          <w:szCs w:val="22"/>
          <w:u w:val="single"/>
        </w:rPr>
      </w:pPr>
      <w:r>
        <w:rPr>
          <w:b/>
          <w:bCs/>
          <w:sz w:val="22"/>
          <w:szCs w:val="22"/>
          <w:u w:val="single"/>
        </w:rPr>
        <w:t>ENRON INTERNAL TALKING POINTS</w:t>
      </w:r>
    </w:p>
    <w:p>
      <w:pPr>
        <w:pStyle w:val="Normal"/>
        <w:tabs>
          <w:tab w:val="clear" w:pos="720"/>
          <w:tab w:val="left" w:pos="360" w:leader="none"/>
        </w:tabs>
        <w:ind w:hanging="360" w:start="360" w:end="0"/>
        <w:rPr>
          <w:sz w:val="22"/>
          <w:szCs w:val="22"/>
        </w:rPr>
      </w:pPr>
      <w:r>
        <w:rPr>
          <w:b/>
          <w:bCs/>
          <w:sz w:val="22"/>
          <w:szCs w:val="22"/>
          <w:u w:val="single"/>
        </w:rPr>
        <w:t>FOR FERC STAFF VISIT – DEC. 7, 2000</w:t>
      </w:r>
    </w:p>
    <w:p>
      <w:pPr>
        <w:pStyle w:val="Normal"/>
        <w:tabs>
          <w:tab w:val="clear" w:pos="720"/>
          <w:tab w:val="left" w:pos="360" w:leader="none"/>
        </w:tabs>
        <w:ind w:hanging="360" w:start="360" w:end="0"/>
        <w:jc w:val="both"/>
        <w:rPr>
          <w:sz w:val="22"/>
          <w:szCs w:val="22"/>
        </w:rPr>
      </w:pPr>
      <w:r>
        <w:rPr>
          <w:b/>
          <w:bCs/>
          <w:sz w:val="22"/>
          <w:szCs w:val="22"/>
          <w:u w:val="single"/>
        </w:rPr>
        <w:t>Page 2</w:t>
      </w:r>
    </w:p>
    <w:p>
      <w:pPr>
        <w:pStyle w:val="Normal"/>
        <w:tabs>
          <w:tab w:val="clear" w:pos="720"/>
          <w:tab w:val="left" w:pos="360" w:leader="none"/>
        </w:tabs>
        <w:ind w:hanging="360" w:start="360" w:end="0"/>
        <w:jc w:val="both"/>
        <w:rPr>
          <w:sz w:val="22"/>
          <w:szCs w:val="22"/>
        </w:rPr>
      </w:pPr>
      <w:r>
        <w:rPr>
          <w:sz w:val="22"/>
          <w:szCs w:val="22"/>
        </w:rPr>
      </w:r>
    </w:p>
    <w:p>
      <w:pPr>
        <w:pStyle w:val="Normal"/>
        <w:tabs>
          <w:tab w:val="clear" w:pos="720"/>
          <w:tab w:val="left" w:pos="360" w:leader="none"/>
        </w:tabs>
        <w:ind w:hanging="360" w:start="360" w:end="0"/>
        <w:jc w:val="both"/>
        <w:rPr>
          <w:sz w:val="22"/>
          <w:szCs w:val="22"/>
        </w:rPr>
      </w:pPr>
      <w:r>
        <w:rPr>
          <w:sz w:val="22"/>
          <w:szCs w:val="22"/>
        </w:rPr>
        <w:t>(EOL Continued)</w:t>
      </w:r>
    </w:p>
    <w:p>
      <w:pPr>
        <w:pStyle w:val="Normal"/>
        <w:tabs>
          <w:tab w:val="clear" w:pos="720"/>
          <w:tab w:val="left" w:pos="360" w:leader="none"/>
        </w:tabs>
        <w:ind w:hanging="360" w:start="360" w:end="0"/>
        <w:jc w:val="both"/>
        <w:rPr>
          <w:sz w:val="22"/>
          <w:szCs w:val="22"/>
        </w:rPr>
      </w:pPr>
      <w:r>
        <w:rPr>
          <w:sz w:val="22"/>
          <w:szCs w:val="22"/>
        </w:rPr>
      </w:r>
    </w:p>
    <w:p>
      <w:pPr>
        <w:pStyle w:val="Normal"/>
        <w:numPr>
          <w:ilvl w:val="0"/>
          <w:numId w:val="6"/>
        </w:numPr>
        <w:tabs>
          <w:tab w:val="clear" w:pos="720"/>
          <w:tab w:val="left" w:pos="0" w:leader="none"/>
        </w:tabs>
        <w:ind w:hanging="720" w:start="720" w:end="0"/>
        <w:jc w:val="both"/>
        <w:rPr>
          <w:sz w:val="22"/>
          <w:szCs w:val="22"/>
        </w:rPr>
      </w:pPr>
      <w:r>
        <w:rPr>
          <w:sz w:val="22"/>
          <w:szCs w:val="22"/>
        </w:rPr>
        <w:t>The Enron Pipelines entered into a confidentiality agreement with EOL to commemorate the fact that data will not be shared with other Enron units.  And, notwithstanding the fact that EOL, Enron Networks and ENA all report up to Frevert in the Wholesale Group, the individuals in EOL &amp; Networks that handle pipeline data are not involved in any commercial activities for ENA, thus providing a firewall.</w:t>
      </w:r>
    </w:p>
    <w:p>
      <w:pPr>
        <w:pStyle w:val="Normal"/>
        <w:numPr>
          <w:ilvl w:val="0"/>
          <w:numId w:val="0"/>
        </w:numPr>
        <w:tabs>
          <w:tab w:val="clear" w:pos="720"/>
          <w:tab w:val="left" w:pos="360" w:leader="none"/>
        </w:tabs>
        <w:ind w:hanging="0" w:start="360" w:end="0"/>
        <w:jc w:val="both"/>
        <w:rPr>
          <w:sz w:val="22"/>
          <w:szCs w:val="22"/>
        </w:rPr>
      </w:pPr>
      <w:r>
        <w:rPr>
          <w:sz w:val="22"/>
          <w:szCs w:val="22"/>
        </w:rPr>
      </w:r>
    </w:p>
    <w:p>
      <w:pPr>
        <w:pStyle w:val="Normal"/>
        <w:numPr>
          <w:ilvl w:val="0"/>
          <w:numId w:val="6"/>
        </w:numPr>
        <w:tabs>
          <w:tab w:val="clear" w:pos="720"/>
          <w:tab w:val="left" w:pos="0" w:leader="none"/>
        </w:tabs>
        <w:ind w:hanging="720" w:start="720" w:end="0"/>
        <w:jc w:val="both"/>
        <w:rPr>
          <w:sz w:val="22"/>
          <w:szCs w:val="22"/>
        </w:rPr>
      </w:pPr>
      <w:r>
        <w:rPr>
          <w:sz w:val="22"/>
          <w:szCs w:val="22"/>
        </w:rPr>
        <w:t>This issue is still sensitive.  While FERC seemed enthusiastic about the added transparency of adding pipeline capacity to EOL, customers and competitors are still critical.  A number of protestors have made the argument that EOL should be considered a marketing affiliate of the Enron pipelines – effectively precluding the pipelines from using EOL.</w:t>
      </w:r>
    </w:p>
    <w:p>
      <w:pPr>
        <w:pStyle w:val="Normal"/>
        <w:numPr>
          <w:ilvl w:val="0"/>
          <w:numId w:val="0"/>
        </w:numPr>
        <w:tabs>
          <w:tab w:val="clear" w:pos="720"/>
          <w:tab w:val="left" w:pos="360" w:leader="none"/>
        </w:tabs>
        <w:ind w:hanging="0" w:start="360" w:end="0"/>
        <w:jc w:val="both"/>
        <w:rPr>
          <w:sz w:val="22"/>
          <w:szCs w:val="22"/>
        </w:rPr>
      </w:pPr>
      <w:r>
        <w:rPr>
          <w:sz w:val="22"/>
          <w:szCs w:val="22"/>
        </w:rPr>
      </w:r>
    </w:p>
    <w:p>
      <w:pPr>
        <w:pStyle w:val="Normal"/>
        <w:numPr>
          <w:ilvl w:val="0"/>
          <w:numId w:val="6"/>
        </w:numPr>
        <w:tabs>
          <w:tab w:val="clear" w:pos="720"/>
          <w:tab w:val="left" w:pos="0" w:leader="none"/>
        </w:tabs>
        <w:ind w:hanging="720" w:start="720" w:end="0"/>
        <w:jc w:val="both"/>
        <w:rPr>
          <w:sz w:val="22"/>
          <w:szCs w:val="22"/>
        </w:rPr>
      </w:pPr>
      <w:r>
        <w:rPr>
          <w:sz w:val="22"/>
          <w:szCs w:val="22"/>
        </w:rPr>
        <w:t>The broader implication is this.  EOL is currently working on developing a new site to facilitate trading of capacity for both the Enron pipelines and other non-affiliated pipelines.  To the extent that we are unable to convince the industry that EOL is a separate entity from ENA, it is unlikely that other pipelines will be willing to use EOL.</w:t>
      </w:r>
    </w:p>
    <w:p>
      <w:pPr>
        <w:pStyle w:val="Normal"/>
        <w:numPr>
          <w:ilvl w:val="0"/>
          <w:numId w:val="0"/>
        </w:numPr>
        <w:tabs>
          <w:tab w:val="clear" w:pos="720"/>
          <w:tab w:val="left" w:pos="360" w:leader="none"/>
        </w:tabs>
        <w:ind w:hanging="0" w:start="360" w:end="0"/>
        <w:jc w:val="both"/>
        <w:rPr>
          <w:sz w:val="22"/>
          <w:szCs w:val="22"/>
        </w:rPr>
      </w:pPr>
      <w:r>
        <w:rPr>
          <w:sz w:val="22"/>
          <w:szCs w:val="22"/>
        </w:rPr>
      </w:r>
    </w:p>
    <w:p>
      <w:pPr>
        <w:pStyle w:val="Normal"/>
        <w:numPr>
          <w:ilvl w:val="0"/>
          <w:numId w:val="6"/>
        </w:numPr>
        <w:tabs>
          <w:tab w:val="clear" w:pos="720"/>
          <w:tab w:val="left" w:pos="0" w:leader="none"/>
        </w:tabs>
        <w:ind w:hanging="360" w:start="720" w:end="0"/>
        <w:jc w:val="both"/>
        <w:rPr/>
      </w:pPr>
      <w:r>
        <w:rPr>
          <w:b/>
          <w:bCs/>
          <w:i/>
          <w:iCs/>
          <w:sz w:val="22"/>
          <w:szCs w:val="22"/>
        </w:rPr>
        <w:t>Bottom Line</w:t>
      </w:r>
      <w:r>
        <w:rPr>
          <w:i/>
          <w:iCs/>
          <w:sz w:val="22"/>
          <w:szCs w:val="22"/>
        </w:rPr>
        <w:t xml:space="preserve"> - Sinces EPMI has the opportunity to demonstrate power transactions on EOL to visiting FERC staff, hopefully the point can be made that EOL is not an ENA/EPMI application, but rather, EOL is a trading platform/tool used by EPMI for power and by other Enron traders for other products.</w:t>
      </w:r>
    </w:p>
    <w:sectPr>
      <w:type w:val="nextPage"/>
      <w:pgSz w:w="12240" w:h="15840"/>
      <w:pgMar w:left="1800" w:right="180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Symbol">
    <w:charset w:val="02"/>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2000-12-05T16:54:00Z</dcterms:created>
  <dc:creator>appinst</dc:creator>
  <dc:description/>
  <dc:language>en-CA</dc:language>
  <cp:lastModifiedBy>appinst</cp:lastModifiedBy>
  <cp:lastPrinted>2000-12-05T14:21:00Z</cp:lastPrinted>
  <dcterms:modified xsi:type="dcterms:W3CDTF">2000-12-05T17:58:00Z</dcterms:modified>
  <cp:revision>6</cp:revision>
  <dc:subject/>
  <dc:title>EOL Issues for December 7 FERC Staff Visit</dc:title>
</cp:coreProperties>
</file>