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11, 2001</w:t>
      </w:r>
    </w:p>
    <w:p>
      <w:pPr>
        <w:pStyle w:val="Normal"/>
        <w:rPr/>
      </w:pPr>
      <w:r>
        <w:rPr/>
      </w:r>
    </w:p>
    <w:p>
      <w:pPr>
        <w:pStyle w:val="Normal"/>
        <w:rPr/>
      </w:pPr>
      <w:r>
        <w:rPr/>
        <w:t>To: Ben Jacoby, Stuart Zisman, Kay Mann</w:t>
      </w:r>
    </w:p>
    <w:p>
      <w:pPr>
        <w:pStyle w:val="Normal"/>
        <w:rPr/>
      </w:pPr>
      <w:r>
        <w:rPr/>
      </w:r>
    </w:p>
    <w:p>
      <w:pPr>
        <w:pStyle w:val="Normal"/>
        <w:rPr/>
      </w:pPr>
      <w:r>
        <w:rPr/>
        <w:t>From: Ron Tapscott</w:t>
      </w:r>
    </w:p>
    <w:p>
      <w:pPr>
        <w:pStyle w:val="Normal"/>
        <w:rPr/>
      </w:pPr>
      <w:r>
        <w:rPr/>
      </w:r>
    </w:p>
    <w:p>
      <w:pPr>
        <w:pStyle w:val="Normal"/>
        <w:rPr/>
      </w:pPr>
      <w:r>
        <w:rPr/>
        <w:t xml:space="preserve">Re: Status of S-W 501D5A Gas Turbine Generator </w:t>
      </w:r>
    </w:p>
    <w:p>
      <w:pPr>
        <w:pStyle w:val="Normal"/>
        <w:rPr/>
      </w:pPr>
      <w:r>
        <w:rPr/>
      </w:r>
    </w:p>
    <w:p>
      <w:pPr>
        <w:pStyle w:val="Normal"/>
        <w:rPr/>
      </w:pPr>
      <w:r>
        <w:rPr/>
      </w:r>
    </w:p>
    <w:p>
      <w:pPr>
        <w:pStyle w:val="Heading1"/>
        <w:ind w:hanging="0" w:start="0"/>
        <w:rPr/>
      </w:pPr>
      <w:r>
        <w:rPr/>
        <w:t>Background Information</w:t>
      </w:r>
    </w:p>
    <w:p>
      <w:pPr>
        <w:pStyle w:val="Normal"/>
        <w:rPr>
          <w:u w:val="single"/>
        </w:rPr>
      </w:pPr>
      <w:r>
        <w:rPr>
          <w:u w:val="single"/>
        </w:rPr>
      </w:r>
    </w:p>
    <w:p>
      <w:pPr>
        <w:pStyle w:val="Normal"/>
        <w:rPr/>
      </w:pPr>
      <w:r>
        <w:rPr/>
        <w:t>On March 25, 1999, Enron Equipment Procurement Company (“EEPC”) entered into a purchase contract with Siemens Westinghouse Power Corporation (“SW”) for one (1) W501D5A gas turbine generator package.  According to SW, on or about July 7, 2000, the generator portion of the package sustained water damage while on board the vessel.  At issue, did delivery occur and what entity had risk of loss?  EEPC maintains that risk of loss was SW’s responsibility while SW maintains the opposite.  EEPC contends that delivery did not occur consistent with the terms of the contract for the following reasons:</w:t>
      </w:r>
    </w:p>
    <w:p>
      <w:pPr>
        <w:pStyle w:val="Normal"/>
        <w:rPr/>
      </w:pPr>
      <w:r>
        <w:rPr/>
      </w:r>
    </w:p>
    <w:p>
      <w:pPr>
        <w:pStyle w:val="Normal"/>
        <w:numPr>
          <w:ilvl w:val="0"/>
          <w:numId w:val="3"/>
        </w:numPr>
        <w:rPr/>
      </w:pPr>
      <w:r>
        <w:rPr/>
        <w:t>SW correspondence to EEPC on July 7, 2000 indicated Delivery Point would be Export House.  It is EEPC’s contention that this is a building in the Port of Houston and delivery did not occur since the vessel was damaged while on board the vessel.</w:t>
      </w:r>
    </w:p>
    <w:p>
      <w:pPr>
        <w:pStyle w:val="Normal"/>
        <w:numPr>
          <w:ilvl w:val="0"/>
          <w:numId w:val="3"/>
        </w:numPr>
        <w:rPr/>
      </w:pPr>
      <w:r>
        <w:rPr/>
        <w:t xml:space="preserve">SW did not meet all of the requirements in accordance with the delivery terms of the contract – Delivery Point (DDP).  First, the equipment is required to be delivered in an undamaged condition.  In addition, it is questionable whether SW met all requirements of DDP (i.e., payment of duties) before knowledge of the damage.   </w:t>
      </w:r>
    </w:p>
    <w:p>
      <w:pPr>
        <w:pStyle w:val="Normal"/>
        <w:numPr>
          <w:ilvl w:val="0"/>
          <w:numId w:val="3"/>
        </w:numPr>
        <w:rPr/>
      </w:pPr>
      <w:r>
        <w:rPr/>
        <w:t xml:space="preserve">Proper notifications and rights to inspect the equipment were not accorded EEPC per the terms of the contract. </w:t>
      </w:r>
    </w:p>
    <w:p>
      <w:pPr>
        <w:pStyle w:val="Normal"/>
        <w:ind w:start="60" w:end="0"/>
        <w:rPr/>
      </w:pPr>
      <w:r>
        <w:rPr/>
      </w:r>
    </w:p>
    <w:p>
      <w:pPr>
        <w:pStyle w:val="Normal"/>
        <w:ind w:start="60" w:end="0"/>
        <w:rPr/>
      </w:pPr>
      <w:r>
        <w:rPr/>
        <w:t>As a result of the opposing views, EEPC filed a claim against SW on August 30, 2001 claiming that SW was in breach of contract for failure to deliver a complete and undamaged generator.  EEPC has made a request for the recovery of all payments made to SW along with interest and other related expenses.    SW has since filed a counterclaim on October 8, 20001 requesting payment of any outstanding amount associated with the final milestone and associated change order.  In addition, SW made a request for reimbursement of expenses associated with the storage of components in their possession.  SW currently is in possession of the damaged generator and the turbine, and has assumed responsibility for any storage or related costs.  EEPC began paying for storage costs related to the auxiliary equipment in August of this year; however, a letter was forwarded to SW indicating that this action does not mean that title or risk of loss passed from SW to EEPC.  The claim is currently in the interrogatory phase and it is expected that the resolution of this claim could take as long as 2 ½ years.  However, there are other means such as mediation that could resolve this matter in a more expedient manner.</w:t>
      </w:r>
    </w:p>
    <w:p>
      <w:pPr>
        <w:pStyle w:val="Normal"/>
        <w:ind w:start="60" w:end="0"/>
        <w:rPr/>
      </w:pPr>
      <w:r>
        <w:rPr/>
      </w:r>
    </w:p>
    <w:p>
      <w:pPr>
        <w:pStyle w:val="Normal"/>
        <w:ind w:start="60" w:end="0"/>
        <w:rPr/>
      </w:pPr>
      <w:r>
        <w:rPr/>
        <w:t>The contract purchase price including the change order totaled $24,506,000.  The final milestone payment along with the purchase order totaling $1,623,350 has not been paid.</w:t>
      </w:r>
    </w:p>
    <w:p>
      <w:pPr>
        <w:pStyle w:val="Normal"/>
        <w:ind w:start="60" w:end="0"/>
        <w:rPr/>
      </w:pPr>
      <w:r>
        <w:rPr/>
      </w:r>
    </w:p>
    <w:p>
      <w:pPr>
        <w:pStyle w:val="Normal"/>
        <w:ind w:start="60" w:end="0"/>
        <w:rPr/>
      </w:pPr>
      <w:r>
        <w:rPr/>
        <w:t>In a related action, EEPC has filed a claim with the insurance underwriter for this equipment to preserve the position until the above dispute is resolved.  This claim will expire on December 31, 2001; however, it is expected that the underwriters would grant an extension if we made such request.</w:t>
      </w:r>
    </w:p>
    <w:p>
      <w:pPr>
        <w:pStyle w:val="Normal"/>
        <w:ind w:start="60" w:end="0"/>
        <w:rPr/>
      </w:pPr>
      <w:r>
        <w:rPr/>
      </w:r>
    </w:p>
    <w:p>
      <w:pPr>
        <w:pStyle w:val="Heading2"/>
        <w:ind w:start="0" w:end="0"/>
        <w:rPr/>
      </w:pPr>
      <w:r>
        <w:rPr/>
        <w:t>Other Issues</w:t>
      </w:r>
    </w:p>
    <w:p>
      <w:pPr>
        <w:pStyle w:val="Normal"/>
        <w:rPr/>
      </w:pPr>
      <w:r>
        <w:rPr/>
      </w:r>
    </w:p>
    <w:p>
      <w:pPr>
        <w:pStyle w:val="Normal"/>
        <w:rPr/>
      </w:pPr>
      <w:r>
        <w:rPr/>
        <w:t>To better understand the course of action needed to resolve this matter, the following questions need to be answered:</w:t>
      </w:r>
    </w:p>
    <w:p>
      <w:pPr>
        <w:pStyle w:val="Normal"/>
        <w:rPr/>
      </w:pPr>
      <w:r>
        <w:rPr/>
      </w:r>
    </w:p>
    <w:p>
      <w:pPr>
        <w:pStyle w:val="Normal"/>
        <w:numPr>
          <w:ilvl w:val="0"/>
          <w:numId w:val="2"/>
        </w:numPr>
        <w:rPr/>
      </w:pPr>
      <w:r>
        <w:rPr/>
        <w:t>What is the current status or future plan for EEPC as it relates to the bankruptcy filing?</w:t>
      </w:r>
    </w:p>
    <w:p>
      <w:pPr>
        <w:pStyle w:val="Normal"/>
        <w:numPr>
          <w:ilvl w:val="0"/>
          <w:numId w:val="2"/>
        </w:numPr>
        <w:rPr/>
      </w:pPr>
      <w:r>
        <w:rPr/>
        <w:t>What other assets are included in EEPC?</w:t>
      </w:r>
    </w:p>
    <w:p>
      <w:pPr>
        <w:pStyle w:val="Normal"/>
        <w:numPr>
          <w:ilvl w:val="0"/>
          <w:numId w:val="2"/>
        </w:numPr>
        <w:rPr/>
      </w:pPr>
      <w:r>
        <w:rPr/>
        <w:t>Is their benefit to assign this contract to a sub of EEPC?</w:t>
      </w:r>
    </w:p>
    <w:p>
      <w:pPr>
        <w:pStyle w:val="Normal"/>
        <w:numPr>
          <w:ilvl w:val="0"/>
          <w:numId w:val="2"/>
        </w:numPr>
        <w:rPr/>
      </w:pPr>
      <w:r>
        <w:rPr/>
        <w:t>What are the advantages and disadvantages related to a bankruptcy filing by EEPC while involved in an insurance claim and/or action against a third party (i.e. SW)?</w:t>
      </w:r>
    </w:p>
    <w:p>
      <w:pPr>
        <w:pStyle w:val="Normal"/>
        <w:numPr>
          <w:ilvl w:val="0"/>
          <w:numId w:val="2"/>
        </w:numPr>
        <w:rPr/>
      </w:pPr>
      <w:r>
        <w:rPr/>
        <w:t>What procedurally is appropriate or inappropriate as it related to a bankrupt entity involved in an insurance claim and/or action against a third party?</w:t>
      </w:r>
    </w:p>
    <w:p>
      <w:pPr>
        <w:pStyle w:val="Normal"/>
        <w:rPr/>
      </w:pPr>
      <w:r>
        <w:rPr/>
      </w:r>
    </w:p>
    <w:p>
      <w:pPr>
        <w:pStyle w:val="Heading1"/>
        <w:ind w:hanging="0" w:start="0"/>
        <w:rPr/>
      </w:pPr>
      <w:r>
        <w:rPr/>
        <w:t>Conclusion</w:t>
      </w:r>
    </w:p>
    <w:p>
      <w:pPr>
        <w:pStyle w:val="Normal"/>
        <w:rPr/>
      </w:pPr>
      <w:r>
        <w:rPr/>
      </w:r>
    </w:p>
    <w:p>
      <w:pPr>
        <w:pStyle w:val="Normal"/>
        <w:rPr/>
      </w:pPr>
      <w:r>
        <w:rPr/>
        <w:t xml:space="preserve">In addition, to the insurance claim and action against SW, we have engaged in discussions with SW to resolve this matter outside the courts.  We are also in contact with other parties who are interested in purchasing our interest in the assets.  It is clearly in our best interest to resolve this matter quickly since this asset is unencumbered; however, we require direction on some of the issues noted above for this to happen.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20"/>
        </w:tabs>
        <w:ind w:start="102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60" w:end="0"/>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2001-12-12T16:30:00Z</dcterms:created>
  <dc:creator>rtapsco</dc:creator>
  <dc:description/>
  <dc:language>en-CA</dc:language>
  <cp:lastModifiedBy>rtapsco</cp:lastModifiedBy>
  <cp:lastPrinted>2001-12-12T12:06:00Z</cp:lastPrinted>
  <dcterms:modified xsi:type="dcterms:W3CDTF">2001-12-12T16:30:00Z</dcterms:modified>
  <cp:revision>2</cp:revision>
  <dc:subject/>
  <dc:title>December 11, 2001</dc:title>
</cp:coreProperties>
</file>