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sideAddress"/>
        <w:rPr>
          <w:rFonts w:ascii="Times New Roman" w:hAnsi="Times New Roman" w:cs="Times New Roman"/>
          <w:sz w:val="24"/>
        </w:rPr>
      </w:pPr>
      <w:r>
        <w:rPr>
          <w:rFonts w:cs="Times New Roman" w:ascii="Times New Roman" w:hAnsi="Times New Roman"/>
          <w:sz w:val="24"/>
        </w:rPr>
      </w:r>
    </w:p>
    <w:p>
      <w:pPr>
        <w:pStyle w:val="InsideAddress"/>
        <w:rPr>
          <w:rFonts w:ascii="Times New Roman" w:hAnsi="Times New Roman" w:cs="Times New Roman"/>
          <w:sz w:val="24"/>
        </w:rPr>
      </w:pPr>
      <w:r>
        <w:rPr>
          <w:rFonts w:cs="Times New Roman" w:ascii="Times New Roman" w:hAnsi="Times New Roman"/>
          <w:sz w:val="24"/>
        </w:rPr>
      </w:r>
    </w:p>
    <w:p>
      <w:pPr>
        <w:pStyle w:val="InsideAddress"/>
        <w:rPr>
          <w:rFonts w:ascii="Times New Roman" w:hAnsi="Times New Roman" w:cs="Times New Roman"/>
          <w:sz w:val="24"/>
        </w:rPr>
      </w:pPr>
      <w:r>
        <w:rPr>
          <w:rFonts w:cs="Times New Roman" w:ascii="Times New Roman" w:hAnsi="Times New Roman"/>
          <w:sz w:val="24"/>
        </w:rPr>
      </w:r>
    </w:p>
    <w:p>
      <w:pPr>
        <w:pStyle w:val="InsideAddress"/>
        <w:rPr>
          <w:rFonts w:ascii="Times New Roman" w:hAnsi="Times New Roman" w:cs="Times New Roman"/>
          <w:sz w:val="24"/>
        </w:rPr>
      </w:pPr>
      <w:r>
        <w:rPr>
          <w:rFonts w:cs="Times New Roman" w:ascii="Times New Roman" w:hAnsi="Times New Roman"/>
          <w:sz w:val="24"/>
        </w:rPr>
      </w:r>
    </w:p>
    <w:p>
      <w:pPr>
        <w:pStyle w:val="InsideAddress"/>
        <w:rPr>
          <w:rFonts w:ascii="Times New Roman" w:hAnsi="Times New Roman" w:cs="Times New Roman"/>
          <w:sz w:val="24"/>
        </w:rPr>
      </w:pPr>
      <w:r>
        <w:rPr>
          <w:rFonts w:cs="Times New Roman" w:ascii="Times New Roman" w:hAnsi="Times New Roman"/>
          <w:sz w:val="24"/>
        </w:rPr>
      </w:r>
    </w:p>
    <w:p>
      <w:pPr>
        <w:pStyle w:val="InsideAddress"/>
        <w:rPr>
          <w:rFonts w:ascii="Times New Roman" w:hAnsi="Times New Roman" w:cs="Times New Roman"/>
          <w:sz w:val="24"/>
        </w:rPr>
      </w:pPr>
      <w:r>
        <w:rPr>
          <w:rFonts w:cs="Times New Roman" w:ascii="Times New Roman" w:hAnsi="Times New Roman"/>
          <w:sz w:val="24"/>
        </w:rPr>
      </w:r>
    </w:p>
    <w:p>
      <w:pPr>
        <w:pStyle w:val="InsideAddress"/>
        <w:rPr>
          <w:rFonts w:ascii="Times New Roman" w:hAnsi="Times New Roman" w:cs="Times New Roman"/>
          <w:sz w:val="24"/>
        </w:rPr>
      </w:pPr>
      <w:r>
        <w:rPr>
          <w:rFonts w:cs="Times New Roman" w:ascii="Times New Roman" w:hAnsi="Times New Roman"/>
          <w:sz w:val="24"/>
        </w:rPr>
      </w:r>
    </w:p>
    <w:p>
      <w:pPr>
        <w:pStyle w:val="InsideAddress"/>
        <w:rPr>
          <w:rFonts w:ascii="Times New Roman" w:hAnsi="Times New Roman" w:cs="Times New Roman"/>
          <w:sz w:val="24"/>
        </w:rPr>
      </w:pPr>
      <w:r>
        <w:rPr>
          <w:rFonts w:cs="Times New Roman" w:ascii="Times New Roman" w:hAnsi="Times New Roman"/>
          <w:sz w:val="24"/>
        </w:rPr>
      </w:r>
    </w:p>
    <w:p>
      <w:pPr>
        <w:pStyle w:val="InsideAddress"/>
        <w:rPr>
          <w:rFonts w:ascii="Times New Roman" w:hAnsi="Times New Roman" w:cs="Times New Roman"/>
          <w:sz w:val="24"/>
        </w:rPr>
      </w:pPr>
      <w:r>
        <w:rPr>
          <w:rFonts w:cs="Times New Roman" w:ascii="Times New Roman" w:hAnsi="Times New Roman"/>
          <w:sz w:val="24"/>
        </w:rPr>
      </w:r>
    </w:p>
    <w:p>
      <w:pPr>
        <w:pStyle w:val="InsideAddress"/>
        <w:rPr>
          <w:rFonts w:ascii="Times New Roman" w:hAnsi="Times New Roman" w:cs="Times New Roman"/>
          <w:sz w:val="24"/>
        </w:rPr>
      </w:pPr>
      <w:r>
        <w:rPr>
          <w:rFonts w:cs="Times New Roman" w:ascii="Times New Roman" w:hAnsi="Times New Roman"/>
          <w:sz w:val="24"/>
        </w:rPr>
      </w:r>
    </w:p>
    <w:p>
      <w:pPr>
        <w:pStyle w:val="InsideAddress"/>
        <w:rPr>
          <w:rFonts w:ascii="Times New Roman" w:hAnsi="Times New Roman" w:cs="Times New Roman"/>
          <w:sz w:val="24"/>
        </w:rPr>
      </w:pPr>
      <w:r>
        <w:rPr>
          <w:rFonts w:cs="Times New Roman" w:ascii="Times New Roman" w:hAnsi="Times New Roman"/>
          <w:sz w:val="24"/>
        </w:rPr>
      </w:r>
    </w:p>
    <w:p>
      <w:pPr>
        <w:pStyle w:val="InsideAddress"/>
        <w:rPr>
          <w:rFonts w:ascii="Times New Roman" w:hAnsi="Times New Roman" w:cs="Times New Roman"/>
          <w:sz w:val="24"/>
        </w:rPr>
      </w:pPr>
      <w:r>
        <w:rPr>
          <w:rFonts w:cs="Times New Roman" w:ascii="Times New Roman" w:hAnsi="Times New Roman"/>
          <w:sz w:val="24"/>
        </w:rPr>
        <w:t>December 11, 2000</w:t>
      </w:r>
    </w:p>
    <w:p>
      <w:pPr>
        <w:pStyle w:val="InsideAddress"/>
        <w:rPr>
          <w:rFonts w:ascii="Times New Roman" w:hAnsi="Times New Roman" w:cs="Times New Roman"/>
          <w:sz w:val="24"/>
        </w:rPr>
      </w:pPr>
      <w:r>
        <w:rPr>
          <w:rFonts w:cs="Times New Roman" w:ascii="Times New Roman" w:hAnsi="Times New Roman"/>
          <w:sz w:val="24"/>
        </w:rPr>
      </w:r>
    </w:p>
    <w:p>
      <w:pPr>
        <w:pStyle w:val="InsideAddress"/>
        <w:rPr>
          <w:rFonts w:ascii="Times New Roman" w:hAnsi="Times New Roman" w:cs="Times New Roman"/>
          <w:sz w:val="24"/>
        </w:rPr>
      </w:pPr>
      <w:r>
        <w:rPr>
          <w:rFonts w:cs="Times New Roman" w:ascii="Times New Roman" w:hAnsi="Times New Roman"/>
          <w:sz w:val="24"/>
        </w:rPr>
      </w:r>
    </w:p>
    <w:p>
      <w:pPr>
        <w:pStyle w:val="InsideAddress"/>
        <w:rPr>
          <w:rFonts w:ascii="Times New Roman" w:hAnsi="Times New Roman" w:cs="Times New Roman"/>
          <w:sz w:val="24"/>
        </w:rPr>
      </w:pPr>
      <w:r>
        <w:rPr>
          <w:rFonts w:cs="Times New Roman" w:ascii="Times New Roman" w:hAnsi="Times New Roman"/>
          <w:sz w:val="24"/>
        </w:rPr>
        <w:t>Chairman James Hoecker</w:t>
      </w:r>
    </w:p>
    <w:p>
      <w:pPr>
        <w:pStyle w:val="InsideAddress"/>
        <w:rPr>
          <w:rFonts w:ascii="Times New Roman" w:hAnsi="Times New Roman" w:cs="Times New Roman"/>
          <w:sz w:val="24"/>
        </w:rPr>
      </w:pPr>
      <w:r>
        <w:rPr>
          <w:rFonts w:cs="Times New Roman" w:ascii="Times New Roman" w:hAnsi="Times New Roman"/>
          <w:sz w:val="24"/>
        </w:rPr>
        <w:t>Federal Energy Regulatory Commission</w:t>
      </w:r>
    </w:p>
    <w:p>
      <w:pPr>
        <w:pStyle w:val="InsideAddress"/>
        <w:rPr>
          <w:rFonts w:ascii="Times New Roman" w:hAnsi="Times New Roman" w:cs="Times New Roman"/>
          <w:sz w:val="24"/>
        </w:rPr>
      </w:pPr>
      <w:r>
        <w:rPr>
          <w:rFonts w:cs="Times New Roman" w:ascii="Times New Roman" w:hAnsi="Times New Roman"/>
          <w:sz w:val="24"/>
        </w:rPr>
        <w:t>888 First Street, N.E.</w:t>
      </w:r>
    </w:p>
    <w:p>
      <w:pPr>
        <w:pStyle w:val="InsideAddress"/>
        <w:rPr>
          <w:rFonts w:ascii="Times New Roman" w:hAnsi="Times New Roman" w:cs="Times New Roman"/>
          <w:sz w:val="24"/>
        </w:rPr>
      </w:pPr>
      <w:r>
        <w:rPr>
          <w:rFonts w:cs="Times New Roman" w:ascii="Times New Roman" w:hAnsi="Times New Roman"/>
          <w:sz w:val="24"/>
        </w:rPr>
        <w:t>Washington, DC 20426</w:t>
      </w:r>
    </w:p>
    <w:p>
      <w:pPr>
        <w:pStyle w:val="Normal"/>
        <w:jc w:val="both"/>
        <w:rPr>
          <w:rFonts w:ascii="Times New Roman" w:hAnsi="Times New Roman" w:cs="Times New Roman"/>
          <w:sz w:val="24"/>
        </w:rPr>
      </w:pPr>
      <w:r>
        <w:rPr>
          <w:rFonts w:cs="Times New Roman"/>
          <w:sz w:val="24"/>
        </w:rPr>
      </w:r>
    </w:p>
    <w:p>
      <w:pPr>
        <w:pStyle w:val="ReferenceLine"/>
        <w:jc w:val="both"/>
        <w:rPr>
          <w:rFonts w:ascii="Times New Roman" w:hAnsi="Times New Roman" w:cs="Times New Roman"/>
          <w:b/>
          <w:i/>
          <w:i/>
          <w:sz w:val="24"/>
        </w:rPr>
      </w:pPr>
      <w:r>
        <w:rPr>
          <w:rFonts w:cs="Times New Roman" w:ascii="Times New Roman" w:hAnsi="Times New Roman"/>
          <w:sz w:val="24"/>
        </w:rPr>
        <w:t xml:space="preserve">RE: Docket No. EL00-107-000  </w:t>
      </w:r>
    </w:p>
    <w:p>
      <w:pPr>
        <w:pStyle w:val="Salutation"/>
        <w:jc w:val="both"/>
        <w:rPr>
          <w:rFonts w:ascii="Times New Roman" w:hAnsi="Times New Roman" w:cs="Times New Roman"/>
          <w:sz w:val="24"/>
        </w:rPr>
      </w:pPr>
      <w:r>
        <w:rPr>
          <w:rFonts w:cs="Times New Roman" w:ascii="Times New Roman" w:hAnsi="Times New Roman"/>
          <w:sz w:val="24"/>
        </w:rPr>
        <w:t>Dear Chairman Hoecker:</w:t>
      </w:r>
    </w:p>
    <w:p>
      <w:pPr>
        <w:pStyle w:val="Normal"/>
        <w:jc w:val="both"/>
        <w:rPr/>
      </w:pPr>
      <w:r>
        <w:rPr/>
        <w:t xml:space="preserve">Despite the fact that only a short time has passed since the Independent System Operator’s recent emergency filing, the weaknesses of the soft cap have become manifest.  Prices in the Power Exchange have leaped from $300/MWh to over $900/MWh in the space of three days and market newsletters are reporting offerings of up to $5000/MWh in the West.  </w:t>
      </w:r>
    </w:p>
    <w:p>
      <w:pPr>
        <w:pStyle w:val="Normal"/>
        <w:jc w:val="both"/>
        <w:rPr/>
      </w:pPr>
      <w:r>
        <w:rPr/>
      </w:r>
    </w:p>
    <w:p>
      <w:pPr>
        <w:pStyle w:val="Normal"/>
        <w:jc w:val="both"/>
        <w:rPr/>
      </w:pPr>
      <w:r>
        <w:rPr/>
        <w:t>Today, the Los Angeles Times reported that Kaiser Aluminum Corp., the second-largest U.S. aluminum maker, said it will shut its smelter in Mead, Wash., for about 10 months and lay off about 400 employees. Kaiser said it had resold the electricity it was to receive this month from the Bonneville Power Administration, netting proceeds of $52 million, or nearly nine times the $5.9 million that the company has earned so far this year.</w:t>
      </w:r>
    </w:p>
    <w:p>
      <w:pPr>
        <w:pStyle w:val="Normal"/>
        <w:jc w:val="both"/>
        <w:rPr/>
      </w:pPr>
      <w:r>
        <w:rPr/>
      </w:r>
    </w:p>
    <w:p>
      <w:pPr>
        <w:pStyle w:val="Normal"/>
        <w:jc w:val="both"/>
        <w:rPr/>
      </w:pPr>
      <w:r>
        <w:rPr/>
        <w:t>It is clear that neither the prospect of post-October refunds ordered under Section 206 nor any potential scrutiny and review of transactions by the FERC are or will be adequate to discipline marketers’ behavior.  Marketers know full well that FERC simply doesn’t have the resources to police this wholesale market and that the odds are that they can act with impunity.  Moreover, they know they have a fellow traveler in your colleague Commissioner Hebert who sees the prospect of the lights going out in California as a “vindication” of his positions on price caps rather than as the public disaster such an event would be</w:t>
      </w:r>
      <w:r>
        <w:rPr>
          <w:rStyle w:val="FootnoteCharacters"/>
          <w:rStyle w:val="FootnoteReference"/>
        </w:rPr>
        <w:footnoteReference w:id="2"/>
      </w:r>
      <w:r>
        <w:rPr/>
        <w:t>.</w:t>
      </w:r>
    </w:p>
    <w:p>
      <w:pPr>
        <w:pStyle w:val="Normal"/>
        <w:jc w:val="both"/>
        <w:rPr/>
      </w:pPr>
      <w:r>
        <w:rPr/>
      </w:r>
    </w:p>
    <w:p>
      <w:pPr>
        <w:pStyle w:val="Normal"/>
        <w:jc w:val="both"/>
        <w:rPr/>
      </w:pPr>
      <w:r>
        <w:rPr/>
        <w:t>Mr. Chairman, the issue before you and your colleagues is not an abstract theoretical dispute. The consequences of FERC staying with its soft cap, market-style solution will be a meltdown of the Western states’ economy. I am not talking about a minor infringement on the discretionary income of Californians.  I am talking about widespread bankruptcies and unemployment and threats to public health and safety unless prices are returned immediately to a just and reasonable level.</w:t>
      </w:r>
    </w:p>
    <w:p>
      <w:pPr>
        <w:pStyle w:val="Normal"/>
        <w:jc w:val="both"/>
        <w:rPr/>
      </w:pPr>
      <w:r>
        <w:rPr/>
      </w:r>
    </w:p>
    <w:p>
      <w:pPr>
        <w:pStyle w:val="Normal"/>
        <w:jc w:val="both"/>
        <w:rPr/>
      </w:pPr>
      <w:r>
        <w:rPr/>
        <w:t>The 1973 Arab oil embargo graphically demonstrated how extortionate energy prices can cripple an economy as well as the lengthy time required for the economy to recover from such a impact.  However, the oil embargo was the work of an illegal international cartel.  What beggars the imagination is the prospect of US agency visiting the same kind of economic destruction on a US state and its citizens.</w:t>
      </w:r>
    </w:p>
    <w:p>
      <w:pPr>
        <w:pStyle w:val="Normal"/>
        <w:jc w:val="both"/>
        <w:rPr/>
      </w:pPr>
      <w:r>
        <w:rPr/>
      </w:r>
    </w:p>
    <w:p>
      <w:pPr>
        <w:pStyle w:val="Normal"/>
        <w:jc w:val="both"/>
        <w:rPr/>
      </w:pPr>
      <w:r>
        <w:rPr/>
        <w:t>FERC must impose a cost-based framework on electricity being sold in the West by its jurisdictional marketers and generators.  To fail to do so in the face of the likely consequences of guessing wrong would be unconscionable.  I urge you to do everything in your power to impose cost-based wholesale prices in the West and assure that they are just and reasonable.  Anything less will result in an economic disaster for California and other states throughout the West.</w:t>
      </w:r>
    </w:p>
    <w:p>
      <w:pPr>
        <w:pStyle w:val="Normal"/>
        <w:jc w:val="both"/>
        <w:rPr/>
      </w:pPr>
      <w:r>
        <w:rPr/>
      </w:r>
    </w:p>
    <w:p>
      <w:pPr>
        <w:pStyle w:val="Normal"/>
        <w:jc w:val="both"/>
        <w:rPr/>
      </w:pPr>
      <w:r>
        <w:rPr/>
        <w:t>Sincerely,</w:t>
      </w:r>
    </w:p>
    <w:p>
      <w:pPr>
        <w:pStyle w:val="Normal"/>
        <w:jc w:val="both"/>
        <w:rPr/>
      </w:pPr>
      <w:r>
        <w:rPr/>
      </w:r>
    </w:p>
    <w:p>
      <w:pPr>
        <w:pStyle w:val="Normal"/>
        <w:jc w:val="both"/>
        <w:rPr/>
      </w:pPr>
      <w:r>
        <w:rPr/>
      </w:r>
    </w:p>
    <w:p>
      <w:pPr>
        <w:pStyle w:val="Normal"/>
        <w:jc w:val="both"/>
        <w:rPr/>
      </w:pPr>
      <w:r>
        <w:rPr/>
      </w:r>
    </w:p>
    <w:p>
      <w:pPr>
        <w:pStyle w:val="Normal"/>
        <w:jc w:val="both"/>
        <w:rPr/>
      </w:pPr>
      <w:r>
        <w:rPr/>
        <w:t>STEVE PEACE</w:t>
      </w:r>
    </w:p>
    <w:p>
      <w:pPr>
        <w:pStyle w:val="Normal"/>
        <w:jc w:val="both"/>
        <w:rPr/>
      </w:pPr>
      <w:r>
        <w:rPr/>
      </w:r>
    </w:p>
    <w:p>
      <w:pPr>
        <w:pStyle w:val="Normal"/>
        <w:jc w:val="both"/>
        <w:rPr/>
      </w:pPr>
      <w:r>
        <w:rPr/>
        <w:t>Cc:</w:t>
      </w:r>
    </w:p>
    <w:p>
      <w:pPr>
        <w:pStyle w:val="Normal"/>
        <w:jc w:val="both"/>
        <w:rPr/>
      </w:pPr>
      <w:r>
        <w:rPr/>
        <w:t>Commissioner Linda K. Breathitt</w:t>
      </w:r>
    </w:p>
    <w:p>
      <w:pPr>
        <w:pStyle w:val="Normal"/>
        <w:jc w:val="both"/>
        <w:rPr/>
      </w:pPr>
      <w:r>
        <w:rPr/>
        <w:t>Commissioner Kurt Hebert, Jr.</w:t>
      </w:r>
    </w:p>
    <w:p>
      <w:pPr>
        <w:pStyle w:val="Normal"/>
        <w:jc w:val="both"/>
        <w:rPr/>
      </w:pPr>
      <w:r>
        <w:rPr/>
        <w:t>Commissioner William L. Massey</w:t>
      </w:r>
    </w:p>
    <w:p>
      <w:pPr>
        <w:pStyle w:val="Normal"/>
        <w:jc w:val="both"/>
        <w:rPr/>
      </w:pPr>
      <w:r>
        <w:rPr/>
        <w:t>David P. Boergers, Secretary</w:t>
      </w:r>
    </w:p>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FERC’s Hebert Questions More Power for California Governor Davis”  Dow Jones Newswire December 7, 2000.</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Salutation">
    <w:name w:val="Salutation"/>
    <w:basedOn w:val="Normal"/>
    <w:next w:val="Normal"/>
    <w:qFormat/>
    <w:pPr>
      <w:spacing w:lineRule="atLeast" w:line="240" w:before="240" w:after="240"/>
    </w:pPr>
    <w:rPr>
      <w:rFonts w:ascii="Garamond" w:hAnsi="Garamond" w:cs="Garamond"/>
      <w:kern w:val="2"/>
      <w:sz w:val="20"/>
    </w:rPr>
  </w:style>
  <w:style w:type="paragraph" w:styleId="InsideAddress">
    <w:name w:val="Inside Address"/>
    <w:basedOn w:val="Normal"/>
    <w:qFormat/>
    <w:pPr>
      <w:spacing w:lineRule="atLeast" w:line="240"/>
      <w:jc w:val="both"/>
    </w:pPr>
    <w:rPr>
      <w:rFonts w:ascii="Garamond" w:hAnsi="Garamond" w:cs="Garamond"/>
      <w:kern w:val="2"/>
      <w:sz w:val="20"/>
    </w:rPr>
  </w:style>
  <w:style w:type="paragraph" w:styleId="ReferenceLine">
    <w:name w:val="Reference Line"/>
    <w:basedOn w:val="Normal"/>
    <w:next w:val="Normal"/>
    <w:qFormat/>
    <w:pPr>
      <w:keepNext w:val="true"/>
      <w:spacing w:lineRule="atLeast" w:line="240" w:before="0" w:after="240"/>
    </w:pPr>
    <w:rPr>
      <w:rFonts w:ascii="Garamond" w:hAnsi="Garamond" w:cs="Garamond"/>
      <w:kern w:val="2"/>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2000-12-11T20:05:00Z</dcterms:created>
  <dc:creator>John Rozsa</dc:creator>
  <dc:description/>
  <dc:language>en-CA</dc:language>
  <cp:lastModifiedBy>John Rozsa</cp:lastModifiedBy>
  <cp:lastPrinted>2000-12-11T17:13:00Z</cp:lastPrinted>
  <dcterms:modified xsi:type="dcterms:W3CDTF">2000-12-11T21:44:00Z</dcterms:modified>
  <cp:revision>2</cp:revision>
  <dc:subject/>
  <dc:title>Mr</dc:title>
</cp:coreProperties>
</file>