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pPr>
      <w:r>
        <w:rPr/>
      </w:r>
    </w:p>
    <w:tbl>
      <w:tblPr>
        <w:tblW w:w="10080" w:type="dxa"/>
        <w:jc w:val="start"/>
        <w:tblInd w:w="-72" w:type="dxa"/>
        <w:tblLayout w:type="fixed"/>
        <w:tblCellMar>
          <w:top w:w="0" w:type="dxa"/>
          <w:start w:w="108" w:type="dxa"/>
          <w:bottom w:w="0" w:type="dxa"/>
          <w:end w:w="108" w:type="dxa"/>
        </w:tblCellMar>
      </w:tblPr>
      <w:tblGrid>
        <w:gridCol w:w="1980"/>
        <w:gridCol w:w="5220"/>
        <w:gridCol w:w="2880"/>
      </w:tblGrid>
      <w:tr>
        <w:trPr/>
        <w:tc>
          <w:tcPr>
            <w:tcW w:w="1980" w:type="dxa"/>
            <w:tcBorders/>
          </w:tcPr>
          <w:p>
            <w:pPr>
              <w:pStyle w:val="Normal"/>
              <w:spacing w:before="20" w:after="0"/>
              <w:rPr>
                <w:sz w:val="20"/>
              </w:rPr>
            </w:pPr>
            <w:r>
              <w:rPr>
                <w:sz w:val="20"/>
              </w:rPr>
              <w:drawing>
                <wp:inline distT="0" distB="0" distL="0" distR="0">
                  <wp:extent cx="892810" cy="9232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92810" cy="923290"/>
                          </a:xfrm>
                          <a:prstGeom prst="rect">
                            <a:avLst/>
                          </a:prstGeom>
                          <a:noFill/>
                        </pic:spPr>
                      </pic:pic>
                    </a:graphicData>
                  </a:graphic>
                </wp:inline>
              </w:drawing>
            </w:r>
          </w:p>
        </w:tc>
        <w:tc>
          <w:tcPr>
            <w:tcW w:w="5220" w:type="dxa"/>
            <w:tcBorders/>
          </w:tcPr>
          <w:p>
            <w:pPr>
              <w:pStyle w:val="Normal"/>
              <w:snapToGrid w:val="false"/>
              <w:jc w:val="center"/>
              <w:rPr>
                <w:sz w:val="8"/>
              </w:rPr>
            </w:pPr>
            <w:r>
              <w:rPr>
                <w:sz w:val="8"/>
              </w:rPr>
            </w:r>
          </w:p>
          <w:p>
            <w:pPr>
              <w:pStyle w:val="Normal"/>
              <w:jc w:val="center"/>
              <w:rPr>
                <w:b/>
              </w:rPr>
            </w:pPr>
            <w:r>
              <w:rPr>
                <w:b/>
                <w:sz w:val="20"/>
              </w:rPr>
              <w:drawing>
                <wp:inline distT="0" distB="0" distL="0" distR="0">
                  <wp:extent cx="1000125" cy="8001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20" t="-25" r="-20" b="-25"/>
                          <a:stretch>
                            <a:fillRect/>
                          </a:stretch>
                        </pic:blipFill>
                        <pic:spPr bwMode="auto">
                          <a:xfrm>
                            <a:off x="0" y="0"/>
                            <a:ext cx="1000125" cy="800100"/>
                          </a:xfrm>
                          <a:prstGeom prst="rect">
                            <a:avLst/>
                          </a:prstGeom>
                          <a:noFill/>
                        </pic:spPr>
                      </pic:pic>
                    </a:graphicData>
                  </a:graphic>
                </wp:inline>
              </w:drawing>
            </w:r>
          </w:p>
          <w:p>
            <w:pPr>
              <w:pStyle w:val="Normal"/>
              <w:jc w:val="center"/>
              <w:rPr>
                <w:b/>
              </w:rPr>
            </w:pPr>
            <w:r>
              <w:rPr>
                <w:b/>
              </w:rPr>
            </w:r>
          </w:p>
        </w:tc>
        <w:tc>
          <w:tcPr>
            <w:tcW w:w="2880" w:type="dxa"/>
            <w:tcBorders/>
          </w:tcPr>
          <w:p>
            <w:pPr>
              <w:pStyle w:val="Normal"/>
              <w:snapToGrid w:val="false"/>
              <w:rPr>
                <w:b/>
                <w:sz w:val="12"/>
              </w:rPr>
            </w:pPr>
            <w:r>
              <w:rPr>
                <w:b/>
                <w:sz w:val="12"/>
              </w:rPr>
            </w:r>
          </w:p>
          <w:p>
            <w:pPr>
              <w:pStyle w:val="Normal"/>
              <w:rPr>
                <w:b/>
                <w:sz w:val="8"/>
              </w:rPr>
            </w:pPr>
            <w:r>
              <w:rPr>
                <w:b/>
                <w:sz w:val="8"/>
              </w:rPr>
              <w:br/>
            </w:r>
          </w:p>
          <w:p>
            <w:pPr>
              <w:pStyle w:val="Normal"/>
              <w:rPr>
                <w:b/>
                <w:sz w:val="8"/>
              </w:rPr>
            </w:pPr>
            <w:r>
              <w:rPr>
                <w:b/>
                <w:sz w:val="8"/>
              </w:rPr>
            </w:r>
          </w:p>
          <w:p>
            <w:pPr>
              <w:pStyle w:val="Normal"/>
              <w:rPr>
                <w:b/>
              </w:rPr>
            </w:pPr>
            <w:r>
              <w:rPr>
                <w:b/>
              </w:rPr>
              <w:t>Enron Energy Services</w:t>
            </w:r>
          </w:p>
          <w:p>
            <w:pPr>
              <w:pStyle w:val="Normal"/>
              <w:rPr>
                <w:b/>
              </w:rPr>
            </w:pPr>
            <w:r>
              <w:rPr>
                <w:b/>
              </w:rPr>
              <w:t>Legal Department</w:t>
            </w:r>
          </w:p>
          <w:p>
            <w:pPr>
              <w:pStyle w:val="Normal"/>
              <w:rPr>
                <w:b/>
              </w:rPr>
            </w:pPr>
            <w:r>
              <w:rPr>
                <w:b/>
              </w:rPr>
            </w:r>
          </w:p>
        </w:tc>
      </w:tr>
    </w:tbl>
    <w:p>
      <w:pPr>
        <w:pStyle w:val="Body"/>
        <w:rPr>
          <w:rFonts w:ascii="Times New Roman" w:hAnsi="Times New Roman" w:cs="Times New Roman"/>
          <w:b/>
          <w:sz w:val="24"/>
        </w:rPr>
      </w:pPr>
      <w:r>
        <w:rPr>
          <w:rFonts w:cs="Times New Roman" w:ascii="Times New Roman" w:hAnsi="Times New Roman"/>
          <w:b/>
          <w:sz w:val="24"/>
        </w:rPr>
        <w:tab/>
        <w:tab/>
        <w:tab/>
        <w:tab/>
        <w:tab/>
        <w:tab/>
        <w:tab/>
        <w:tab/>
        <w:tab/>
        <w:tab/>
        <w:tab/>
        <w:tab/>
        <w:tab/>
      </w:r>
    </w:p>
    <w:p>
      <w:pPr>
        <w:pStyle w:val="Heading"/>
        <w:rPr>
          <w:rFonts w:ascii="Times New Roman" w:hAnsi="Times New Roman" w:cs="Times New Roman"/>
          <w:b w:val="false"/>
          <w:sz w:val="24"/>
        </w:rPr>
      </w:pPr>
      <w:r>
        <w:rPr>
          <w:rFonts w:cs="Times New Roman" w:ascii="Times New Roman" w:hAnsi="Times New Roman"/>
          <w:b w:val="false"/>
          <w:sz w:val="24"/>
        </w:rPr>
      </w:r>
    </w:p>
    <w:tbl>
      <w:tblPr>
        <w:tblW w:w="9899" w:type="dxa"/>
        <w:jc w:val="start"/>
        <w:tblInd w:w="-72" w:type="dxa"/>
        <w:tblLayout w:type="fixed"/>
        <w:tblCellMar>
          <w:top w:w="0" w:type="dxa"/>
          <w:start w:w="108" w:type="dxa"/>
          <w:bottom w:w="0" w:type="dxa"/>
          <w:end w:w="108" w:type="dxa"/>
        </w:tblCellMar>
      </w:tblPr>
      <w:tblGrid>
        <w:gridCol w:w="1170"/>
        <w:gridCol w:w="4590"/>
        <w:gridCol w:w="1710"/>
        <w:gridCol w:w="2429"/>
      </w:tblGrid>
      <w:tr>
        <w:trPr>
          <w:trHeight w:val="300" w:hRule="exact"/>
        </w:trPr>
        <w:tc>
          <w:tcPr>
            <w:tcW w:w="1170" w:type="dxa"/>
            <w:tcBorders/>
          </w:tcPr>
          <w:p>
            <w:pPr>
              <w:pStyle w:val="Normal"/>
              <w:ind w:start="-18" w:end="0"/>
              <w:rPr>
                <w:b/>
              </w:rPr>
            </w:pPr>
            <w:r>
              <w:rPr>
                <w:b/>
              </w:rPr>
              <w:t>To:</w:t>
            </w:r>
          </w:p>
        </w:tc>
        <w:tc>
          <w:tcPr>
            <w:tcW w:w="4590" w:type="dxa"/>
            <w:tcBorders/>
          </w:tcPr>
          <w:p>
            <w:pPr>
              <w:pStyle w:val="Normal"/>
              <w:rPr/>
            </w:pPr>
            <w:r>
              <w:rPr/>
              <w:t>Jim Derrick</w:t>
            </w:r>
          </w:p>
        </w:tc>
        <w:tc>
          <w:tcPr>
            <w:tcW w:w="1710" w:type="dxa"/>
            <w:tcBorders/>
          </w:tcPr>
          <w:p>
            <w:pPr>
              <w:pStyle w:val="Normal"/>
              <w:snapToGrid w:val="false"/>
              <w:ind w:start="-18" w:end="0"/>
              <w:rPr>
                <w:b/>
              </w:rPr>
            </w:pPr>
            <w:r>
              <w:rPr>
                <w:b/>
              </w:rPr>
            </w:r>
          </w:p>
        </w:tc>
        <w:tc>
          <w:tcPr>
            <w:tcW w:w="2429" w:type="dxa"/>
            <w:tcBorders/>
          </w:tcPr>
          <w:p>
            <w:pPr>
              <w:pStyle w:val="Normal"/>
              <w:snapToGrid w:val="false"/>
              <w:rPr>
                <w:rFonts w:ascii="Times New Roman" w:hAnsi="Times New Roman" w:cs="Times New Roman"/>
                <w:b/>
              </w:rPr>
            </w:pPr>
            <w:r>
              <w:rPr>
                <w:rFonts w:cs="Times New Roman" w:ascii="Times New Roman" w:hAnsi="Times New Roman"/>
                <w:b/>
              </w:rPr>
            </w:r>
          </w:p>
        </w:tc>
      </w:tr>
      <w:tr>
        <w:trPr>
          <w:trHeight w:val="216" w:hRule="exact"/>
        </w:trPr>
        <w:tc>
          <w:tcPr>
            <w:tcW w:w="1170" w:type="dxa"/>
            <w:tcBorders/>
          </w:tcPr>
          <w:p>
            <w:pPr>
              <w:pStyle w:val="Normal"/>
              <w:snapToGrid w:val="false"/>
              <w:ind w:start="-18" w:end="0"/>
              <w:rPr>
                <w:rFonts w:ascii="Times New Roman" w:hAnsi="Times New Roman" w:cs="Times New Roman"/>
                <w:b/>
              </w:rPr>
            </w:pPr>
            <w:r>
              <w:rPr>
                <w:rFonts w:cs="Times New Roman" w:ascii="Times New Roman" w:hAnsi="Times New Roman"/>
                <w:b/>
              </w:rPr>
            </w:r>
          </w:p>
        </w:tc>
        <w:tc>
          <w:tcPr>
            <w:tcW w:w="4590" w:type="dxa"/>
            <w:tcBorders/>
          </w:tcPr>
          <w:p>
            <w:pPr>
              <w:pStyle w:val="Normal"/>
              <w:snapToGrid w:val="false"/>
              <w:rPr>
                <w:rFonts w:ascii="Times New Roman" w:hAnsi="Times New Roman" w:cs="Times New Roman"/>
                <w:b/>
              </w:rPr>
            </w:pPr>
            <w:r>
              <w:rPr>
                <w:rFonts w:cs="Times New Roman" w:ascii="Times New Roman" w:hAnsi="Times New Roman"/>
                <w:b/>
              </w:rPr>
            </w:r>
          </w:p>
        </w:tc>
        <w:tc>
          <w:tcPr>
            <w:tcW w:w="1710" w:type="dxa"/>
            <w:tcBorders/>
          </w:tcPr>
          <w:p>
            <w:pPr>
              <w:pStyle w:val="Normal"/>
              <w:snapToGrid w:val="false"/>
              <w:ind w:start="-18" w:end="0"/>
              <w:rPr>
                <w:rFonts w:ascii="Times New Roman" w:hAnsi="Times New Roman" w:cs="Times New Roman"/>
                <w:b/>
              </w:rPr>
            </w:pPr>
            <w:r>
              <w:rPr>
                <w:rFonts w:cs="Times New Roman" w:ascii="Times New Roman" w:hAnsi="Times New Roman"/>
                <w:b/>
              </w:rPr>
            </w:r>
          </w:p>
        </w:tc>
        <w:tc>
          <w:tcPr>
            <w:tcW w:w="2429" w:type="dxa"/>
            <w:tcBorders/>
          </w:tcPr>
          <w:p>
            <w:pPr>
              <w:pStyle w:val="Normal"/>
              <w:snapToGrid w:val="false"/>
              <w:rPr>
                <w:rFonts w:ascii="Times New Roman" w:hAnsi="Times New Roman" w:cs="Times New Roman"/>
                <w:b/>
              </w:rPr>
            </w:pPr>
            <w:r>
              <w:rPr>
                <w:rFonts w:cs="Times New Roman" w:ascii="Times New Roman" w:hAnsi="Times New Roman"/>
                <w:b/>
              </w:rPr>
            </w:r>
          </w:p>
        </w:tc>
      </w:tr>
      <w:tr>
        <w:trPr>
          <w:trHeight w:val="280" w:hRule="exact"/>
        </w:trPr>
        <w:tc>
          <w:tcPr>
            <w:tcW w:w="1170" w:type="dxa"/>
            <w:tcBorders/>
          </w:tcPr>
          <w:p>
            <w:pPr>
              <w:pStyle w:val="Normal"/>
              <w:ind w:start="-18" w:end="0"/>
              <w:rPr>
                <w:b/>
              </w:rPr>
            </w:pPr>
            <w:r>
              <w:rPr>
                <w:b/>
              </w:rPr>
              <w:t>From:</w:t>
            </w:r>
          </w:p>
          <w:p>
            <w:pPr>
              <w:pStyle w:val="Normal"/>
              <w:ind w:start="-18" w:end="0"/>
              <w:rPr>
                <w:b/>
              </w:rPr>
            </w:pPr>
            <w:r>
              <w:rPr>
                <w:b/>
              </w:rPr>
              <w:t>From:</w:t>
            </w:r>
          </w:p>
        </w:tc>
        <w:tc>
          <w:tcPr>
            <w:tcW w:w="4590" w:type="dxa"/>
            <w:tcBorders/>
          </w:tcPr>
          <w:p>
            <w:pPr>
              <w:pStyle w:val="From"/>
              <w:rPr>
                <w:sz w:val="24"/>
              </w:rPr>
            </w:pPr>
            <w:r>
              <w:rPr>
                <w:sz w:val="24"/>
              </w:rPr>
              <w:t>Vicki Sharp</w:t>
            </w:r>
          </w:p>
        </w:tc>
        <w:tc>
          <w:tcPr>
            <w:tcW w:w="1710" w:type="dxa"/>
            <w:tcBorders/>
          </w:tcPr>
          <w:p>
            <w:pPr>
              <w:pStyle w:val="Normal"/>
              <w:ind w:start="-18" w:end="0"/>
              <w:rPr>
                <w:b/>
              </w:rPr>
            </w:pPr>
            <w:r>
              <w:rPr>
                <w:b/>
              </w:rPr>
              <w:t>Department:</w:t>
            </w:r>
          </w:p>
        </w:tc>
        <w:tc>
          <w:tcPr>
            <w:tcW w:w="2429" w:type="dxa"/>
            <w:tcBorders/>
          </w:tcPr>
          <w:p>
            <w:pPr>
              <w:pStyle w:val="Department"/>
              <w:rPr>
                <w:sz w:val="24"/>
              </w:rPr>
            </w:pPr>
            <w:bookmarkStart w:id="0" w:name="From"/>
            <w:bookmarkEnd w:id="0"/>
            <w:r>
              <w:rPr>
                <w:sz w:val="24"/>
              </w:rPr>
              <w:t>EES Legal</w:t>
            </w:r>
          </w:p>
        </w:tc>
      </w:tr>
      <w:tr>
        <w:trPr>
          <w:trHeight w:val="216" w:hRule="exact"/>
        </w:trPr>
        <w:tc>
          <w:tcPr>
            <w:tcW w:w="1170" w:type="dxa"/>
            <w:tcBorders/>
          </w:tcPr>
          <w:p>
            <w:pPr>
              <w:pStyle w:val="Normal"/>
              <w:snapToGrid w:val="false"/>
              <w:ind w:start="-18" w:end="0"/>
              <w:rPr>
                <w:b/>
                <w:sz w:val="24"/>
              </w:rPr>
            </w:pPr>
            <w:r>
              <w:rPr>
                <w:b/>
                <w:sz w:val="24"/>
              </w:rPr>
            </w:r>
          </w:p>
        </w:tc>
        <w:tc>
          <w:tcPr>
            <w:tcW w:w="4590" w:type="dxa"/>
            <w:tcBorders/>
          </w:tcPr>
          <w:p>
            <w:pPr>
              <w:pStyle w:val="Normal"/>
              <w:snapToGrid w:val="false"/>
              <w:rPr>
                <w:b/>
              </w:rPr>
            </w:pPr>
            <w:r>
              <w:rPr>
                <w:b/>
              </w:rPr>
            </w:r>
          </w:p>
        </w:tc>
        <w:tc>
          <w:tcPr>
            <w:tcW w:w="1710" w:type="dxa"/>
            <w:tcBorders/>
          </w:tcPr>
          <w:p>
            <w:pPr>
              <w:pStyle w:val="Normal"/>
              <w:snapToGrid w:val="false"/>
              <w:ind w:start="-18" w:end="0"/>
              <w:rPr>
                <w:b/>
              </w:rPr>
            </w:pPr>
            <w:r>
              <w:rPr>
                <w:b/>
              </w:rPr>
            </w:r>
          </w:p>
        </w:tc>
        <w:tc>
          <w:tcPr>
            <w:tcW w:w="2429" w:type="dxa"/>
            <w:tcBorders/>
          </w:tcPr>
          <w:p>
            <w:pPr>
              <w:pStyle w:val="Normal"/>
              <w:snapToGrid w:val="false"/>
              <w:rPr>
                <w:b/>
              </w:rPr>
            </w:pPr>
            <w:r>
              <w:rPr>
                <w:b/>
              </w:rPr>
            </w:r>
          </w:p>
        </w:tc>
      </w:tr>
      <w:tr>
        <w:trPr>
          <w:trHeight w:val="600" w:hRule="exact"/>
        </w:trPr>
        <w:tc>
          <w:tcPr>
            <w:tcW w:w="1170" w:type="dxa"/>
            <w:tcBorders>
              <w:bottom w:val="single" w:sz="12" w:space="0" w:color="000000"/>
            </w:tcBorders>
          </w:tcPr>
          <w:p>
            <w:pPr>
              <w:pStyle w:val="Normal"/>
              <w:ind w:start="-18" w:end="0"/>
              <w:rPr>
                <w:b/>
              </w:rPr>
            </w:pPr>
            <w:r>
              <w:rPr>
                <w:b/>
              </w:rPr>
              <w:t>Subject:</w:t>
            </w:r>
          </w:p>
        </w:tc>
        <w:tc>
          <w:tcPr>
            <w:tcW w:w="4590" w:type="dxa"/>
            <w:tcBorders>
              <w:bottom w:val="single" w:sz="12" w:space="0" w:color="000000"/>
            </w:tcBorders>
          </w:tcPr>
          <w:p>
            <w:pPr>
              <w:pStyle w:val="Subject"/>
              <w:rPr>
                <w:sz w:val="24"/>
              </w:rPr>
            </w:pPr>
            <w:r>
              <w:rPr>
                <w:sz w:val="24"/>
              </w:rPr>
              <w:t>Monthly Legal Report</w:t>
            </w:r>
          </w:p>
        </w:tc>
        <w:tc>
          <w:tcPr>
            <w:tcW w:w="1710" w:type="dxa"/>
            <w:tcBorders>
              <w:bottom w:val="single" w:sz="12" w:space="0" w:color="000000"/>
            </w:tcBorders>
          </w:tcPr>
          <w:p>
            <w:pPr>
              <w:pStyle w:val="Normal"/>
              <w:ind w:start="-18" w:end="0"/>
              <w:rPr>
                <w:b/>
              </w:rPr>
            </w:pPr>
            <w:r>
              <w:rPr>
                <w:b/>
              </w:rPr>
              <w:t>Date:</w:t>
            </w:r>
          </w:p>
        </w:tc>
        <w:tc>
          <w:tcPr>
            <w:tcW w:w="2429" w:type="dxa"/>
            <w:tcBorders>
              <w:bottom w:val="single" w:sz="12" w:space="0" w:color="000000"/>
            </w:tcBorders>
          </w:tcPr>
          <w:p>
            <w:pPr>
              <w:pStyle w:val="Date"/>
              <w:rPr>
                <w:sz w:val="24"/>
              </w:rPr>
            </w:pPr>
            <w:r>
              <w:rPr>
                <w:sz w:val="24"/>
              </w:rPr>
              <w:t>December 1, 2000</w:t>
            </w:r>
          </w:p>
        </w:tc>
      </w:tr>
    </w:tbl>
    <w:p>
      <w:pPr>
        <w:pStyle w:val="Body"/>
        <w:jc w:val="both"/>
        <w:rPr>
          <w:sz w:val="24"/>
        </w:rPr>
      </w:pPr>
      <w:r>
        <w:rPr>
          <w:sz w:val="24"/>
        </w:rPr>
      </w:r>
      <w:bookmarkStart w:id="1" w:name="StartOfMemo"/>
      <w:bookmarkStart w:id="2" w:name="StartOfMemo"/>
      <w:bookmarkEnd w:id="2"/>
    </w:p>
    <w:p>
      <w:pPr>
        <w:pStyle w:val="Body"/>
        <w:tabs>
          <w:tab w:val="left" w:pos="720" w:leader="none"/>
          <w:tab w:val="left" w:pos="1080" w:leader="none"/>
        </w:tabs>
        <w:ind w:firstLine="720" w:start="0" w:end="0"/>
        <w:jc w:val="both"/>
        <w:rPr>
          <w:sz w:val="24"/>
        </w:rPr>
      </w:pPr>
      <w:r>
        <w:rPr>
          <w:sz w:val="24"/>
        </w:rPr>
        <w:t>The attached legal report summarizes current significant legal activities of Enron Energy Services as of November 15, 2000.  This report does not attempt to list all transactions or include reference to ongoing maintenance of completed transactions.  Additional and/or more detailed information is available on request.  A redline copy has also been attached for your convenience.</w:t>
      </w:r>
    </w:p>
    <w:p>
      <w:pPr>
        <w:pStyle w:val="Body"/>
        <w:tabs>
          <w:tab w:val="left" w:pos="720" w:leader="none"/>
          <w:tab w:val="left" w:pos="1080" w:leader="none"/>
        </w:tabs>
        <w:ind w:firstLine="720" w:start="0" w:end="0"/>
        <w:jc w:val="both"/>
        <w:rPr>
          <w:sz w:val="24"/>
        </w:rPr>
      </w:pPr>
      <w:r>
        <w:rPr>
          <w:sz w:val="24"/>
        </w:rPr>
      </w:r>
    </w:p>
    <w:p>
      <w:pPr>
        <w:pStyle w:val="Body"/>
        <w:jc w:val="both"/>
        <w:rPr>
          <w:sz w:val="24"/>
        </w:rPr>
      </w:pPr>
      <w:r>
        <w:rPr>
          <w:sz w:val="24"/>
        </w:rPr>
      </w:r>
    </w:p>
    <w:p>
      <w:pPr>
        <w:pStyle w:val="Body"/>
        <w:jc w:val="both"/>
        <w:rPr/>
      </w:pPr>
      <w:r>
        <w:rPr/>
      </w:r>
    </w:p>
    <w:p>
      <w:pPr>
        <w:pStyle w:val="Body"/>
        <w:jc w:val="both"/>
        <w:rPr/>
      </w:pPr>
      <w:r>
        <w:rPr/>
      </w:r>
    </w:p>
    <w:p>
      <w:pPr>
        <w:pStyle w:val="Body"/>
        <w:jc w:val="both"/>
        <w:rPr/>
      </w:pPr>
      <w:r>
        <w:rPr/>
        <w:t>VTS/ll</w:t>
      </w:r>
    </w:p>
    <w:p>
      <w:pPr>
        <w:pStyle w:val="Body"/>
        <w:jc w:val="both"/>
        <w:rPr/>
      </w:pPr>
      <w:r>
        <w:rPr/>
      </w:r>
    </w:p>
    <w:p>
      <w:pPr>
        <w:pStyle w:val="Body"/>
        <w:jc w:val="both"/>
        <w:rPr/>
      </w:pPr>
      <w:r>
        <w:rPr/>
        <w:t>Attachments</w:t>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tabs>
          <w:tab w:val="left" w:pos="540" w:leader="none"/>
        </w:tabs>
        <w:jc w:val="both"/>
        <w:rPr/>
      </w:pPr>
      <w:r>
        <w:rPr/>
        <w:t>cc:</w:t>
        <w:tab/>
        <w:t>Lou Pai</w:t>
      </w:r>
    </w:p>
    <w:p>
      <w:pPr>
        <w:pStyle w:val="Body"/>
        <w:tabs>
          <w:tab w:val="left" w:pos="540" w:leader="none"/>
        </w:tabs>
        <w:jc w:val="both"/>
        <w:rPr/>
      </w:pPr>
      <w:r>
        <w:rPr/>
        <w:tab/>
        <w:t>Tom White</w:t>
      </w:r>
    </w:p>
    <w:p>
      <w:pPr>
        <w:pStyle w:val="Body"/>
        <w:tabs>
          <w:tab w:val="left" w:pos="540" w:leader="none"/>
        </w:tabs>
        <w:jc w:val="both"/>
        <w:rPr/>
      </w:pPr>
      <w:r>
        <w:rPr/>
        <w:t xml:space="preserve">cc:  </w:t>
        <w:tab/>
        <w:t>via e-mail:</w:t>
      </w:r>
    </w:p>
    <w:p>
      <w:pPr>
        <w:pStyle w:val="Body"/>
        <w:ind w:firstLine="468" w:end="0"/>
        <w:jc w:val="both"/>
        <w:rPr/>
      </w:pPr>
      <w:r>
        <w:rPr/>
        <w:t>Jeremy Blachman</w:t>
      </w:r>
    </w:p>
    <w:p>
      <w:pPr>
        <w:pStyle w:val="Body"/>
        <w:ind w:firstLine="468" w:end="0"/>
        <w:jc w:val="both"/>
        <w:rPr/>
      </w:pPr>
      <w:r>
        <w:rPr/>
        <w:t>Harold Buchanan</w:t>
      </w:r>
    </w:p>
    <w:p>
      <w:pPr>
        <w:pStyle w:val="Body"/>
        <w:ind w:firstLine="468" w:end="0"/>
        <w:jc w:val="both"/>
        <w:rPr/>
      </w:pPr>
      <w:r>
        <w:rPr/>
        <w:t>Joe Earle</w:t>
      </w:r>
    </w:p>
    <w:p>
      <w:pPr>
        <w:pStyle w:val="Body"/>
        <w:ind w:firstLine="468" w:end="0"/>
        <w:jc w:val="both"/>
        <w:rPr/>
      </w:pPr>
      <w:r>
        <w:rPr/>
        <w:t>Kevin Hughes</w:t>
      </w:r>
    </w:p>
    <w:p>
      <w:pPr>
        <w:pStyle w:val="Body"/>
        <w:ind w:firstLine="468" w:end="0"/>
        <w:jc w:val="both"/>
        <w:rPr/>
      </w:pPr>
      <w:r>
        <w:rPr/>
        <w:t>Dan Leff</w:t>
      </w:r>
    </w:p>
    <w:p>
      <w:pPr>
        <w:pStyle w:val="Body"/>
        <w:ind w:firstLine="468" w:end="0"/>
        <w:jc w:val="both"/>
        <w:rPr/>
      </w:pPr>
      <w:r>
        <w:rPr/>
        <w:t>Jeff Messina</w:t>
      </w:r>
    </w:p>
    <w:p>
      <w:pPr>
        <w:pStyle w:val="Body"/>
        <w:ind w:firstLine="468" w:end="0"/>
        <w:jc w:val="both"/>
        <w:rPr/>
      </w:pPr>
      <w:r>
        <w:rPr/>
        <w:t>Matthew Scrimshaw</w:t>
      </w:r>
    </w:p>
    <w:p>
      <w:pPr>
        <w:pStyle w:val="Body"/>
        <w:ind w:firstLine="468" w:end="0"/>
        <w:jc w:val="both"/>
        <w:rPr/>
      </w:pPr>
      <w:r>
        <w:rPr/>
        <w:t>Marty Sunde</w:t>
      </w:r>
    </w:p>
    <w:p>
      <w:pPr>
        <w:pStyle w:val="Body"/>
        <w:ind w:firstLine="468" w:end="0"/>
        <w:jc w:val="both"/>
        <w:rPr/>
      </w:pPr>
      <w:r>
        <w:rPr/>
        <w:t>Mark Muller</w:t>
      </w:r>
    </w:p>
    <w:p>
      <w:pPr>
        <w:pStyle w:val="Body"/>
        <w:ind w:firstLine="468" w:end="0"/>
        <w:jc w:val="both"/>
        <w:rPr/>
      </w:pPr>
      <w:r>
        <w:rPr/>
        <w:t>Beth Tilney</w:t>
      </w:r>
    </w:p>
    <w:p>
      <w:pPr>
        <w:pStyle w:val="Body"/>
        <w:ind w:firstLine="468" w:end="0"/>
        <w:jc w:val="both"/>
        <w:rPr/>
      </w:pPr>
      <w:r>
        <w:rPr/>
        <w:t>Rob Walls</w:t>
      </w:r>
    </w:p>
    <w:p>
      <w:pPr>
        <w:pStyle w:val="Body"/>
        <w:ind w:firstLine="468" w:end="0"/>
        <w:jc w:val="both"/>
        <w:rPr/>
      </w:pPr>
      <w:r>
        <w:rPr/>
        <w:t>EES Legal Department</w:t>
      </w:r>
    </w:p>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rFonts w:ascii="Times New Roman" w:hAnsi="Times New Roman" w:cs="Times New Roman"/>
        <w:b/>
        <w:sz w:val="16"/>
      </w:rPr>
    </w:pPr>
    <w:r>
      <w:rPr>
        <w:rFonts w:cs="Times New Roman" w:ascii="Times New Roman" w:hAnsi="Times New Roman"/>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6"/>
      </w:rPr>
    </w:pPr>
    <w:r>
      <w:rPr>
        <w:sz w:val="16"/>
      </w:rPr>
      <w:t>j:\legal\vsharp\1997\memos\97065.doc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left" w:pos="720" w:leader="none"/>
        <w:tab w:val="left" w:pos="2880" w:leader="none"/>
        <w:tab w:val="left" w:pos="5040" w:leader="none"/>
        <w:tab w:val="left" w:pos="7920" w:leader="none"/>
        <w:tab w:val="left" w:pos="8640" w:leader="none"/>
      </w:tabs>
      <w:rPr>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6"/>
      </w:rPr>
    </w:pPr>
    <w:r>
      <w:rPr>
        <w:sz w:val="16"/>
      </w:rPr>
      <w:t>j:\legal\llopez\2000\monthly report\nov-mr memo.doc</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ab/>
    </w:r>
    <w:r>
      <w:rPr>
        <w:rFonts w:cs="Times New Roman" w:ascii="Times New Roman" w:hAnsi="Times New Roman"/>
        <w:sz w:val="22"/>
      </w:rPr>
      <w:fldChar w:fldCharType="begin"/>
    </w:r>
    <w:r>
      <w:rPr>
        <w:sz w:val="22"/>
        <w:rFonts w:cs="Times New Roman" w:ascii="Times New Roman" w:hAnsi="Times New Roman"/>
      </w:rPr>
      <w:instrText xml:space="preserve"> DATE \@"M-d-yyyy" </w:instrText>
    </w:r>
    <w:r>
      <w:rPr>
        <w:sz w:val="22"/>
        <w:rFonts w:cs="Times New Roman" w:ascii="Times New Roman" w:hAnsi="Times New Roman"/>
      </w:rPr>
      <w:fldChar w:fldCharType="separate"/>
    </w:r>
    <w:r>
      <w:rPr>
        <w:sz w:val="22"/>
        <w:rFonts w:cs="Times New Roman" w:ascii="Times New Roman" w:hAnsi="Times New Roman"/>
      </w:rPr>
      <w:t>9/28/2025</w:t>
    </w:r>
    <w:r>
      <w:rPr>
        <w:sz w:val="22"/>
        <w:rFonts w:cs="Times New Roman" w:ascii="Times New Roman" w:hAnsi="Times New Roman"/>
      </w:rPr>
      <w:fldChar w:fldCharType="end"/>
    </w:r>
    <w:r>
      <w:rPr>
        <w:rFonts w:cs="Times New Roman" w:ascii="Times New Roman" w:hAnsi="Times New Roman"/>
        <w:sz w:val="22"/>
      </w:rPr>
      <w:tab/>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0</w:t>
    </w:r>
    <w:r>
      <w:rPr>
        <w:sz w:val="22"/>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 xml:space="preserve">Interoffice </w:t>
                          </w:r>
                        </w:p>
                        <w:p>
                          <w:pPr>
                            <w:pStyle w:val="Normal"/>
                            <w:ind w:start="3600" w:end="0"/>
                            <w:rPr>
                              <w:b/>
                              <w:sz w:val="32"/>
                            </w:rPr>
                          </w:pPr>
                          <w:r>
                            <w:rPr>
                              <w:b/>
                              <w:sz w:val="32"/>
                            </w:rPr>
                            <w:t>Memo</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 xml:space="preserve">Interoffice </w:t>
                    </w:r>
                  </w:p>
                  <w:p>
                    <w:pPr>
                      <w:pStyle w:val="Normal"/>
                      <w:ind w:start="3600" w:end="0"/>
                      <w:rPr>
                        <w:b/>
                        <w:sz w:val="32"/>
                      </w:rPr>
                    </w:pPr>
                    <w:r>
                      <w:rPr>
                        <w:b/>
                        <w:sz w:val="32"/>
                      </w:rPr>
                      <w:t>Memo</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2000-12-04T18:35:00Z</dcterms:created>
  <dc:creator>Leasa Gardner</dc:creator>
  <dc:description/>
  <dc:language>en-CA</dc:language>
  <cp:lastModifiedBy>llopez</cp:lastModifiedBy>
  <cp:lastPrinted>2000-12-04T15:08:00Z</cp:lastPrinted>
  <dcterms:modified xsi:type="dcterms:W3CDTF">2000-12-04T18:38:00Z</dcterms:modified>
  <cp:revision>6</cp:revision>
  <dc:subject/>
  <dc:title> </dc:title>
</cp:coreProperties>
</file>