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numPr>
          <w:ilvl w:val="0"/>
          <w:numId w:val="0"/>
        </w:numPr>
        <w:pBdr>
          <w:top w:val="single" w:sz="6" w:space="1" w:color="000000"/>
          <w:left w:val="single" w:sz="6" w:space="4" w:color="000000"/>
          <w:bottom w:val="single" w:sz="6" w:space="1" w:color="000000"/>
          <w:right w:val="single" w:sz="6" w:space="0" w:color="000000"/>
        </w:pBdr>
        <w:shd w:fill="E5E5E5" w:val="clear"/>
        <w:outlineLvl w:val="0"/>
        <w:rPr/>
      </w:pPr>
      <w:r>
        <w:rPr/>
        <w:t>PRIVILEGED AND CONFIDENTIAL</w:t>
      </w:r>
    </w:p>
    <w:p>
      <w:pPr>
        <w:pStyle w:val="Subtitle"/>
        <w:numPr>
          <w:ilvl w:val="0"/>
          <w:numId w:val="0"/>
        </w:numPr>
        <w:outlineLvl w:val="0"/>
        <w:rPr/>
      </w:pPr>
      <w:r>
        <w:rPr/>
        <w:t>ATTORNEY WORK PRODUCT</w:t>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32"/>
        </w:rPr>
      </w:pPr>
      <w:r>
        <w:rPr>
          <w:rFonts w:cs="Arial" w:ascii="Arial" w:hAnsi="Arial"/>
          <w:b/>
          <w:sz w:val="32"/>
        </w:rPr>
        <w:t>MONTHLY LEGAL REPORT</w:t>
      </w:r>
    </w:p>
    <w:p>
      <w:pPr>
        <w:pStyle w:val="Normal"/>
        <w:jc w:val="center"/>
        <w:rPr>
          <w:rFonts w:ascii="Arial" w:hAnsi="Arial" w:cs="Arial"/>
          <w:b/>
          <w:sz w:val="32"/>
          <w:lang w:val="en-CA"/>
        </w:rPr>
      </w:pPr>
      <w:r>
        <w:rPr>
          <w:rFonts w:cs="Arial" w:ascii="Arial" w:hAnsi="Arial"/>
          <w:b/>
          <w:sz w:val="32"/>
          <w:lang w:val="en-CA"/>
        </w:rPr>
        <mc:AlternateContent>
          <mc:Choice Requires="wps">
            <w:drawing>
              <wp:anchor behindDoc="0" distT="0" distB="0" distL="114935" distR="114935" simplePos="0" locked="0" layoutInCell="1" allowOverlap="1" relativeHeight="2">
                <wp:simplePos x="0" y="0"/>
                <wp:positionH relativeFrom="column">
                  <wp:posOffset>1463040</wp:posOffset>
                </wp:positionH>
                <wp:positionV relativeFrom="paragraph">
                  <wp:posOffset>115570</wp:posOffset>
                </wp:positionV>
                <wp:extent cx="3017520" cy="0"/>
                <wp:effectExtent l="0" t="6350" r="0" b="6350"/>
                <wp:wrapNone/>
                <wp:docPr id="1" name=""/>
                <a:graphic xmlns:a="http://schemas.openxmlformats.org/drawingml/2006/main">
                  <a:graphicData uri="http://schemas.microsoft.com/office/word/2010/wordprocessingShape">
                    <wps:wsp>
                      <wps:cNvSpPr/>
                      <wps:spPr>
                        <a:xfrm>
                          <a:off x="0" y="0"/>
                          <a:ext cx="30175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115.2pt,9.1pt" to="352.75pt,9.1pt" stroked="t" o:allowincell="f" style="position:absolute">
                <v:stroke color="black" weight="12600" joinstyle="miter" endcap="flat"/>
                <v:fill o:detectmouseclick="t" on="false"/>
                <w10:wrap type="none"/>
              </v:line>
            </w:pict>
          </mc:Fallback>
        </mc:AlternateContent>
      </w:r>
    </w:p>
    <w:p>
      <w:pPr>
        <w:pStyle w:val="Normal"/>
        <w:jc w:val="center"/>
        <w:rPr>
          <w:rFonts w:ascii="Arial" w:hAnsi="Arial" w:cs="Arial"/>
        </w:rPr>
      </w:pPr>
      <w:r>
        <w:rPr>
          <w:rFonts w:cs="Arial" w:ascii="Arial" w:hAnsi="Arial"/>
        </w:rPr>
      </w:r>
    </w:p>
    <w:p>
      <w:pPr>
        <w:pStyle w:val="Normal"/>
        <w:numPr>
          <w:ilvl w:val="0"/>
          <w:numId w:val="0"/>
        </w:numPr>
        <w:jc w:val="center"/>
        <w:outlineLvl w:val="0"/>
        <w:rPr>
          <w:rFonts w:ascii="Arial" w:hAnsi="Arial" w:cs="Arial"/>
          <w:b/>
          <w:sz w:val="28"/>
        </w:rPr>
      </w:pPr>
      <w:r>
        <w:rPr>
          <w:rFonts w:cs="Arial" w:ascii="Arial" w:hAnsi="Arial"/>
          <w:b/>
          <w:sz w:val="28"/>
        </w:rPr>
        <w:t>December 2000</w:t>
      </w:r>
    </w:p>
    <w:p>
      <w:pPr>
        <w:pStyle w:val="Normal"/>
        <w:jc w:val="center"/>
        <w:rPr>
          <w:rFonts w:ascii="Arial" w:hAnsi="Arial" w:cs="Arial"/>
          <w:b/>
          <w:sz w:val="28"/>
        </w:rPr>
      </w:pPr>
      <w:r>
        <w:rPr>
          <w:rFonts w:cs="Arial" w:ascii="Arial" w:hAnsi="Arial"/>
          <w:b/>
          <w:sz w:val="28"/>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rPr>
      </w:pPr>
      <w:r>
        <w:rPr>
          <w:rFonts w:cs="Arial" w:ascii="Arial" w:hAnsi="Arial"/>
        </w:rPr>
      </w:r>
    </w:p>
    <w:p>
      <w:pPr>
        <w:pStyle w:val="Normal"/>
        <w:jc w:val="center"/>
        <w:rPr>
          <w:rFonts w:ascii="Arial" w:hAnsi="Arial" w:cs="Arial"/>
          <w:lang w:val="en-CA"/>
        </w:rPr>
      </w:pPr>
      <w:r>
        <w:rPr>
          <w:rFonts w:cs="Arial" w:ascii="Arial" w:hAnsi="Arial"/>
          <w:lang w:val="en-CA"/>
        </w:rPr>
        <mc:AlternateContent>
          <mc:Choice Requires="wps">
            <w:drawing>
              <wp:anchor behindDoc="0" distT="0" distB="0" distL="114935" distR="114935" simplePos="0" locked="0" layoutInCell="1" allowOverlap="1" relativeHeight="3">
                <wp:simplePos x="0" y="0"/>
                <wp:positionH relativeFrom="column">
                  <wp:posOffset>1737360</wp:posOffset>
                </wp:positionH>
                <wp:positionV relativeFrom="paragraph">
                  <wp:posOffset>105410</wp:posOffset>
                </wp:positionV>
                <wp:extent cx="2560320" cy="731520"/>
                <wp:effectExtent l="6350" t="6350" r="6985" b="6985"/>
                <wp:wrapNone/>
                <wp:docPr id="2" name=""/>
                <a:graphic xmlns:a="http://schemas.openxmlformats.org/drawingml/2006/main">
                  <a:graphicData uri="http://schemas.microsoft.com/office/word/2010/wordprocessingShape">
                    <wps:wsp>
                      <wps:cNvSpPr/>
                      <wps:spPr>
                        <a:xfrm>
                          <a:off x="0" y="0"/>
                          <a:ext cx="2560320" cy="731520"/>
                        </a:xfrm>
                        <a:custGeom>
                          <a:avLst/>
                          <a:gdLst/>
                          <a:ahLst/>
                          <a:rect l="l" t="t" r="r" b="b"/>
                          <a:pathLst>
                            <a:path w="20000" h="20000">
                              <a:moveTo>
                                <a:pt x="962" y="0"/>
                              </a:moveTo>
                              <a:lnTo>
                                <a:pt x="863" y="35"/>
                              </a:lnTo>
                              <a:lnTo>
                                <a:pt x="769" y="69"/>
                              </a:lnTo>
                              <a:lnTo>
                                <a:pt x="575" y="260"/>
                              </a:lnTo>
                              <a:lnTo>
                                <a:pt x="417" y="573"/>
                              </a:lnTo>
                              <a:lnTo>
                                <a:pt x="288" y="990"/>
                              </a:lnTo>
                              <a:lnTo>
                                <a:pt x="159" y="1476"/>
                              </a:lnTo>
                              <a:lnTo>
                                <a:pt x="64" y="2049"/>
                              </a:lnTo>
                              <a:lnTo>
                                <a:pt x="35" y="2656"/>
                              </a:lnTo>
                              <a:lnTo>
                                <a:pt x="0" y="3333"/>
                              </a:lnTo>
                              <a:lnTo>
                                <a:pt x="0" y="16667"/>
                              </a:lnTo>
                              <a:lnTo>
                                <a:pt x="35" y="17344"/>
                              </a:lnTo>
                              <a:lnTo>
                                <a:pt x="64" y="17951"/>
                              </a:lnTo>
                              <a:lnTo>
                                <a:pt x="159" y="18524"/>
                              </a:lnTo>
                              <a:lnTo>
                                <a:pt x="288" y="19010"/>
                              </a:lnTo>
                              <a:lnTo>
                                <a:pt x="417" y="19427"/>
                              </a:lnTo>
                              <a:lnTo>
                                <a:pt x="575" y="19740"/>
                              </a:lnTo>
                              <a:lnTo>
                                <a:pt x="769" y="19931"/>
                              </a:lnTo>
                              <a:lnTo>
                                <a:pt x="863" y="19965"/>
                              </a:lnTo>
                              <a:lnTo>
                                <a:pt x="962" y="20000"/>
                              </a:lnTo>
                              <a:lnTo>
                                <a:pt x="19038" y="20000"/>
                              </a:lnTo>
                              <a:lnTo>
                                <a:pt x="19137" y="19965"/>
                              </a:lnTo>
                              <a:lnTo>
                                <a:pt x="19231" y="19931"/>
                              </a:lnTo>
                              <a:lnTo>
                                <a:pt x="19425" y="19740"/>
                              </a:lnTo>
                              <a:lnTo>
                                <a:pt x="19583" y="19427"/>
                              </a:lnTo>
                              <a:lnTo>
                                <a:pt x="19712" y="19010"/>
                              </a:lnTo>
                              <a:lnTo>
                                <a:pt x="19841" y="18524"/>
                              </a:lnTo>
                              <a:lnTo>
                                <a:pt x="19936" y="17951"/>
                              </a:lnTo>
                              <a:lnTo>
                                <a:pt x="19965" y="17344"/>
                              </a:lnTo>
                              <a:lnTo>
                                <a:pt x="20000" y="16667"/>
                              </a:lnTo>
                              <a:lnTo>
                                <a:pt x="20000" y="3333"/>
                              </a:lnTo>
                              <a:lnTo>
                                <a:pt x="19965" y="2656"/>
                              </a:lnTo>
                              <a:lnTo>
                                <a:pt x="19936" y="2049"/>
                              </a:lnTo>
                              <a:lnTo>
                                <a:pt x="19841" y="1476"/>
                              </a:lnTo>
                              <a:lnTo>
                                <a:pt x="19712" y="990"/>
                              </a:lnTo>
                              <a:lnTo>
                                <a:pt x="19583" y="573"/>
                              </a:lnTo>
                              <a:lnTo>
                                <a:pt x="19425" y="260"/>
                              </a:lnTo>
                              <a:lnTo>
                                <a:pt x="19231" y="69"/>
                              </a:lnTo>
                              <a:lnTo>
                                <a:pt x="19137" y="35"/>
                              </a:lnTo>
                              <a:lnTo>
                                <a:pt x="19038" y="0"/>
                              </a:lnTo>
                              <a:lnTo>
                                <a:pt x="962" y="0"/>
                              </a:lnTo>
                              <a:close/>
                            </a:path>
                          </a:pathLst>
                        </a:custGeom>
                        <a:noFill/>
                        <a:ln w="12600">
                          <a:solidFill>
                            <a:srgbClr val="000000"/>
                          </a:solidFill>
                          <a:round/>
                        </a:ln>
                      </wps:spPr>
                      <wps:style>
                        <a:lnRef idx="0"/>
                        <a:fillRef idx="0"/>
                        <a:effectRef idx="0"/>
                        <a:fontRef idx="minor"/>
                      </wps:style>
                      <wps:bodyPr/>
                    </wps:wsp>
                  </a:graphicData>
                </a:graphic>
              </wp:anchor>
            </w:drawing>
          </mc:Choice>
          <mc:Fallback>
            <w:pict>
              <v:shape id="shape_0" coordsize="20000,20000" path="m962,0l863,35l769,69l575,260l417,573l288,990l159,1476l64,2049l35,2656l0,3333l0,16667l35,17344l64,17951l159,18524l288,19010l417,19427l575,19740l769,19931l863,19965l962,20000l19038,20000l19137,19965l19231,19931l19425,19740l19583,19427l19712,19010l19841,18524l19936,17951l19965,17344l20000,16667l20000,3333l19965,2656l19936,2049l19841,1476l19712,990l19583,573l19425,260l19231,69l19137,35l19038,0l962,0xe" stroked="t" o:allowincell="f" style="position:absolute;margin-left:136.8pt;margin-top:8.3pt;width:201.55pt;height:57.55pt;mso-wrap-style:none;v-text-anchor:middle">
                <v:fill o:detectmouseclick="t" on="false"/>
                <v:stroke color="black" weight="12600" joinstyle="round" endcap="flat"/>
                <w10:wrap type="none"/>
              </v:shape>
            </w:pict>
          </mc:Fallback>
        </mc:AlternateContent>
      </w:r>
    </w:p>
    <w:p>
      <w:pPr>
        <w:pStyle w:val="Normal"/>
        <w:jc w:val="center"/>
        <w:rPr>
          <w:rFonts w:ascii="Arial" w:hAnsi="Arial" w:cs="Arial"/>
        </w:rPr>
      </w:pPr>
      <w:r>
        <w:rPr>
          <w:rFonts w:cs="Arial" w:ascii="Arial" w:hAnsi="Arial"/>
        </w:rPr>
      </w:r>
    </w:p>
    <w:p>
      <w:pPr>
        <w:pStyle w:val="Normal"/>
        <w:numPr>
          <w:ilvl w:val="0"/>
          <w:numId w:val="0"/>
        </w:numPr>
        <w:spacing w:lineRule="auto" w:line="360"/>
        <w:jc w:val="center"/>
        <w:outlineLvl w:val="0"/>
        <w:rPr>
          <w:rFonts w:ascii="Arial" w:hAnsi="Arial" w:cs="Arial"/>
          <w:b/>
          <w:i/>
          <w:i/>
          <w:sz w:val="24"/>
        </w:rPr>
      </w:pPr>
      <w:r>
        <w:rPr>
          <w:rFonts w:cs="Arial" w:ascii="Arial" w:hAnsi="Arial"/>
          <w:b/>
          <w:i/>
          <w:sz w:val="24"/>
        </w:rPr>
        <w:t>ENRON ENERGY SERVICES</w:t>
      </w:r>
    </w:p>
    <w:p>
      <w:pPr>
        <w:pStyle w:val="Normal"/>
        <w:spacing w:lineRule="auto" w:line="360"/>
        <w:jc w:val="center"/>
        <w:rPr>
          <w:rFonts w:ascii="Arial" w:hAnsi="Arial" w:cs="Arial"/>
          <w:b/>
          <w:i/>
          <w:i/>
          <w:sz w:val="24"/>
        </w:rPr>
      </w:pPr>
      <w:r>
        <w:rPr>
          <w:rFonts w:cs="Arial" w:ascii="Arial" w:hAnsi="Arial"/>
          <w:b/>
          <w:i/>
          <w:sz w:val="24"/>
        </w:rPr>
        <w:t>LEGAL DEPARTMENT</w:t>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Style w:val="Normal"/>
        <w:jc w:val="center"/>
        <w:rPr>
          <w:rFonts w:ascii="Arial" w:hAnsi="Arial" w:cs="Arial"/>
          <w:b/>
          <w:i/>
          <w:i/>
          <w:sz w:val="24"/>
        </w:rPr>
      </w:pPr>
      <w:r>
        <w:rPr>
          <w:rFonts w:cs="Arial" w:ascii="Arial" w:hAnsi="Arial"/>
          <w:b/>
          <w:i/>
          <w:sz w:val="24"/>
        </w:rPr>
      </w:r>
    </w:p>
    <w:p>
      <w:pPr>
        <w:pStyle w:val="Normal"/>
        <w:numPr>
          <w:ilvl w:val="0"/>
          <w:numId w:val="0"/>
        </w:numPr>
        <w:spacing w:before="480" w:after="720"/>
        <w:jc w:val="center"/>
        <w:outlineLvl w:val="0"/>
        <w:rPr>
          <w:rFonts w:ascii="Arial" w:hAnsi="Arial" w:cs="Arial"/>
          <w:b/>
          <w:sz w:val="24"/>
        </w:rPr>
      </w:pPr>
      <w:r>
        <mc:AlternateContent>
          <mc:Choice Requires="wps">
            <w:drawing>
              <wp:anchor behindDoc="0" distT="0" distB="0" distL="114935" distR="114935" simplePos="0" locked="0" layoutInCell="1" allowOverlap="1" relativeHeight="4">
                <wp:simplePos x="0" y="0"/>
                <wp:positionH relativeFrom="column">
                  <wp:posOffset>0</wp:posOffset>
                </wp:positionH>
                <wp:positionV relativeFrom="paragraph">
                  <wp:posOffset>640080</wp:posOffset>
                </wp:positionV>
                <wp:extent cx="5760720" cy="0"/>
                <wp:effectExtent l="0" t="6350" r="0" b="6350"/>
                <wp:wrapNone/>
                <wp:docPr id="3" name=""/>
                <a:graphic xmlns:a="http://schemas.openxmlformats.org/drawingml/2006/main">
                  <a:graphicData uri="http://schemas.microsoft.com/office/word/2010/wordprocessingShape">
                    <wps:wsp>
                      <wps:cNvSpPr/>
                      <wps:spPr>
                        <a:xfrm>
                          <a:off x="0" y="0"/>
                          <a:ext cx="5760720" cy="0"/>
                        </a:xfrm>
                        <a:prstGeom prst="line">
                          <a:avLst/>
                        </a:prstGeom>
                        <a:ln w="12600">
                          <a:solidFill>
                            <a:srgbClr val="000000"/>
                          </a:solidFill>
                          <a:miter/>
                        </a:ln>
                      </wps:spPr>
                      <wps:style>
                        <a:lnRef idx="0"/>
                        <a:fillRef idx="0"/>
                        <a:effectRef idx="0"/>
                        <a:fontRef idx="minor"/>
                      </wps:style>
                      <wps:bodyPr/>
                    </wps:wsp>
                  </a:graphicData>
                </a:graphic>
              </wp:anchor>
            </w:drawing>
          </mc:Choice>
          <mc:Fallback>
            <w:pict>
              <v:line id="shape_0" from="0pt,50.4pt" to="453.55pt,50.4pt" stroked="t" o:allowincell="f" style="position:absolute">
                <v:stroke color="black" weight="12600" joinstyle="miter" endcap="flat"/>
                <v:fill o:detectmouseclick="t" on="false"/>
                <w10:wrap type="none"/>
              </v:line>
            </w:pict>
          </mc:Fallback>
        </mc:AlternateContent>
      </w:r>
      <w:r>
        <w:rPr>
          <w:rFonts w:cs="Arial" w:ascii="Arial" w:hAnsi="Arial"/>
          <w:b/>
          <w:sz w:val="24"/>
        </w:rPr>
        <w:t>TABLE OF CONTENTS</w:t>
      </w:r>
    </w:p>
    <w:p>
      <w:pPr>
        <w:pStyle w:val="Normal"/>
        <w:numPr>
          <w:ilvl w:val="0"/>
          <w:numId w:val="0"/>
        </w:numPr>
        <w:tabs>
          <w:tab w:val="clear" w:pos="720"/>
          <w:tab w:val="left" w:pos="8640" w:leader="none"/>
        </w:tabs>
        <w:spacing w:before="0" w:after="120"/>
        <w:outlineLvl w:val="0"/>
        <w:rPr>
          <w:rFonts w:ascii="Arial" w:hAnsi="Arial" w:cs="Arial"/>
        </w:rPr>
      </w:pPr>
      <w:r>
        <w:rPr>
          <w:rFonts w:cs="Arial" w:ascii="Arial" w:hAnsi="Arial"/>
        </w:rPr>
        <w:tab/>
      </w:r>
      <w:r>
        <w:rPr>
          <w:rFonts w:cs="Arial" w:ascii="Arial" w:hAnsi="Arial"/>
          <w:b/>
          <w:u w:val="single"/>
        </w:rPr>
        <w:t>Page</w:t>
      </w:r>
    </w:p>
    <w:sdt>
      <w:sdtPr>
        <w:docPartObj>
          <w:docPartGallery w:val="Table of Contents"/>
          <w:docPartUnique w:val="true"/>
        </w:docPartObj>
      </w:sdtPr>
      <w:sdtContent>
        <w:p>
          <w:pPr>
            <w:pStyle w:val="TOC1"/>
            <w:tabs>
              <w:tab w:val="left" w:pos="540" w:leader="none"/>
              <w:tab w:val="right" w:pos="9360" w:leader="dot"/>
            </w:tabs>
            <w:rPr>
              <w:lang w:val="en-CA"/>
            </w:rPr>
          </w:pPr>
          <w:r>
            <w:fldChar w:fldCharType="begin"/>
          </w:r>
          <w:r>
            <w:rPr>
              <w:lang w:val="en-CA"/>
            </w:rPr>
            <w:instrText xml:space="preserve"> TOC \o "1-1" </w:instrText>
          </w:r>
          <w:r>
            <w:rPr>
              <w:lang w:val="en-CA"/>
            </w:rPr>
            <w:fldChar w:fldCharType="separate"/>
          </w:r>
          <w:r>
            <w:rPr>
              <w:lang w:val="en-CA"/>
            </w:rPr>
            <w:t>I.</w:t>
            <w:tab/>
            <w:t>BUNDLED and NON-COMMODITY TRANSACTIONS.</w:t>
            <w:tab/>
          </w:r>
          <w:hyperlink w:anchor="__RefHeading___Toc498330288">
            <w:r>
              <w:rPr>
                <w:rStyle w:val="IndexLink"/>
                <w:lang w:val="en-CA"/>
              </w:rPr>
              <w:t>1</w:t>
            </w:r>
          </w:hyperlink>
        </w:p>
        <w:p>
          <w:pPr>
            <w:pStyle w:val="TOC1"/>
            <w:tabs>
              <w:tab w:val="left" w:pos="540" w:leader="none"/>
              <w:tab w:val="right" w:pos="9360" w:leader="dot"/>
            </w:tabs>
            <w:rPr>
              <w:lang w:val="en-CA"/>
            </w:rPr>
          </w:pPr>
          <w:r>
            <w:rPr>
              <w:lang w:val="en-CA"/>
            </w:rPr>
            <w:t>II.</w:t>
            <w:tab/>
            <w:t>POWER TRANSACTIONS.</w:t>
            <w:tab/>
          </w:r>
          <w:hyperlink w:anchor="__RefHeading___Toc498330289">
            <w:r>
              <w:rPr>
                <w:rStyle w:val="IndexLink"/>
                <w:lang w:val="en-CA"/>
              </w:rPr>
              <w:t>3</w:t>
            </w:r>
          </w:hyperlink>
        </w:p>
        <w:p>
          <w:pPr>
            <w:pStyle w:val="TOC1"/>
            <w:tabs>
              <w:tab w:val="left" w:pos="540" w:leader="none"/>
              <w:tab w:val="right" w:pos="9360" w:leader="dot"/>
            </w:tabs>
            <w:rPr>
              <w:lang w:val="en-CA"/>
            </w:rPr>
          </w:pPr>
          <w:r>
            <w:rPr>
              <w:lang w:val="en-CA"/>
            </w:rPr>
            <w:t>III.</w:t>
            <w:tab/>
            <w:t>GAS TRANSACTIONS.</w:t>
            <w:tab/>
          </w:r>
          <w:hyperlink w:anchor="__RefHeading___Toc498330290">
            <w:r>
              <w:rPr>
                <w:rStyle w:val="IndexLink"/>
                <w:lang w:val="en-CA"/>
              </w:rPr>
              <w:t>4</w:t>
            </w:r>
          </w:hyperlink>
        </w:p>
        <w:p>
          <w:pPr>
            <w:pStyle w:val="TOC1"/>
            <w:tabs>
              <w:tab w:val="left" w:pos="540" w:leader="none"/>
              <w:tab w:val="right" w:pos="9360" w:leader="dot"/>
            </w:tabs>
            <w:rPr>
              <w:lang w:val="en-CA"/>
            </w:rPr>
          </w:pPr>
          <w:r>
            <w:rPr>
              <w:lang w:val="en-CA"/>
            </w:rPr>
            <w:t>IV.</w:t>
            <w:tab/>
            <w:t>Fulfillment (Including value enhancement).</w:t>
            <w:tab/>
          </w:r>
          <w:hyperlink w:anchor="__RefHeading___Toc498330291">
            <w:r>
              <w:rPr>
                <w:rStyle w:val="IndexLink"/>
                <w:lang w:val="en-CA"/>
              </w:rPr>
              <w:t>4</w:t>
            </w:r>
          </w:hyperlink>
        </w:p>
        <w:p>
          <w:pPr>
            <w:pStyle w:val="TOC1"/>
            <w:tabs>
              <w:tab w:val="left" w:pos="540" w:leader="none"/>
              <w:tab w:val="right" w:pos="9360" w:leader="dot"/>
            </w:tabs>
            <w:rPr>
              <w:lang w:val="en-CA"/>
            </w:rPr>
          </w:pPr>
          <w:r>
            <w:rPr>
              <w:lang w:val="en-CA"/>
            </w:rPr>
            <w:t>V.</w:t>
            <w:tab/>
            <w:t>NEW BUSINESSES AND MARKETS; PRODUCT DEVELOPMENT; Initiatives.</w:t>
            <w:tab/>
          </w:r>
          <w:hyperlink w:anchor="__RefHeading___Toc498330292">
            <w:r>
              <w:rPr>
                <w:rStyle w:val="IndexLink"/>
                <w:lang w:val="en-CA"/>
              </w:rPr>
              <w:t>5</w:t>
            </w:r>
          </w:hyperlink>
        </w:p>
        <w:p>
          <w:pPr>
            <w:pStyle w:val="TOC1"/>
            <w:tabs>
              <w:tab w:val="left" w:pos="540" w:leader="none"/>
              <w:tab w:val="right" w:pos="9360" w:leader="dot"/>
            </w:tabs>
            <w:rPr>
              <w:lang w:val="en-CA"/>
            </w:rPr>
          </w:pPr>
          <w:r>
            <w:rPr>
              <w:lang w:val="en-CA"/>
            </w:rPr>
            <w:t>VI.</w:t>
            <w:tab/>
            <w:t>MERGERS &amp; ACQUISITIONS;  STRATEGIC RELATIONSHIPS;  FINANCINGS.</w:t>
            <w:tab/>
          </w:r>
          <w:hyperlink w:anchor="__RefHeading___Toc498330293">
            <w:r>
              <w:rPr>
                <w:rStyle w:val="IndexLink"/>
                <w:lang w:val="en-CA"/>
              </w:rPr>
              <w:t>5</w:t>
            </w:r>
          </w:hyperlink>
        </w:p>
        <w:p>
          <w:pPr>
            <w:pStyle w:val="TOC1"/>
            <w:tabs>
              <w:tab w:val="left" w:pos="540" w:leader="none"/>
              <w:tab w:val="right" w:pos="9360" w:leader="dot"/>
            </w:tabs>
            <w:rPr>
              <w:lang w:val="en-CA"/>
            </w:rPr>
          </w:pPr>
          <w:r>
            <w:rPr>
              <w:lang w:val="en-CA"/>
            </w:rPr>
            <w:t>VII.</w:t>
            <w:tab/>
            <w:t>Europe.</w:t>
            <w:tab/>
          </w:r>
          <w:hyperlink w:anchor="__RefHeading___Toc498330294">
            <w:r>
              <w:rPr>
                <w:rStyle w:val="IndexLink"/>
                <w:lang w:val="en-CA"/>
              </w:rPr>
              <w:t>5</w:t>
            </w:r>
          </w:hyperlink>
        </w:p>
        <w:p>
          <w:pPr>
            <w:pStyle w:val="TOC1"/>
            <w:tabs>
              <w:tab w:val="left" w:pos="540" w:leader="none"/>
              <w:tab w:val="right" w:pos="9360" w:leader="dot"/>
            </w:tabs>
            <w:rPr>
              <w:lang w:val="en-CA"/>
            </w:rPr>
          </w:pPr>
          <w:r>
            <w:rPr>
              <w:lang w:val="en-CA"/>
            </w:rPr>
            <w:t>VIII.</w:t>
            <w:tab/>
            <w:t>EFS Activities.</w:t>
            <w:tab/>
          </w:r>
          <w:hyperlink w:anchor="__RefHeading___Toc498330295">
            <w:r>
              <w:rPr>
                <w:rStyle w:val="IndexLink"/>
                <w:lang w:val="en-CA"/>
              </w:rPr>
              <w:t>6</w:t>
            </w:r>
          </w:hyperlink>
        </w:p>
        <w:p>
          <w:pPr>
            <w:pStyle w:val="TOC1"/>
            <w:tabs>
              <w:tab w:val="left" w:pos="540" w:leader="none"/>
              <w:tab w:val="right" w:pos="9360" w:leader="dot"/>
            </w:tabs>
            <w:rPr>
              <w:lang w:val="en-CA"/>
            </w:rPr>
          </w:pPr>
          <w:r>
            <w:rPr>
              <w:lang w:val="en-CA"/>
            </w:rPr>
            <w:t>IX.</w:t>
            <w:tab/>
            <w:t>LITIGATION.</w:t>
            <w:tab/>
          </w:r>
          <w:hyperlink w:anchor="__RefHeading___Toc498330296">
            <w:r>
              <w:rPr>
                <w:rStyle w:val="IndexLink"/>
                <w:lang w:val="en-CA"/>
              </w:rPr>
              <w:t>6</w:t>
            </w:r>
          </w:hyperlink>
        </w:p>
        <w:p>
          <w:pPr>
            <w:pStyle w:val="TOC1"/>
            <w:tabs>
              <w:tab w:val="left" w:pos="540" w:leader="none"/>
              <w:tab w:val="right" w:pos="9360" w:leader="dot"/>
            </w:tabs>
            <w:rPr>
              <w:lang w:val="en-CA"/>
            </w:rPr>
          </w:pPr>
          <w:r>
            <w:rPr>
              <w:lang w:val="en-CA"/>
            </w:rPr>
            <w:t>X.</w:t>
            <w:tab/>
            <w:t>MISCELLANEOUS.</w:t>
            <w:tab/>
          </w:r>
          <w:hyperlink w:anchor="__RefHeading___Toc498330297">
            <w:r>
              <w:rPr>
                <w:rStyle w:val="IndexLink"/>
                <w:lang w:val="en-CA"/>
              </w:rPr>
              <w:t>7</w:t>
            </w:r>
          </w:hyperlink>
          <w:r>
            <w:rPr>
              <w:rStyle w:val="IndexLink"/>
              <w:lang w:val="en-CA"/>
            </w:rPr>
            <w:fldChar w:fldCharType="end"/>
          </w:r>
        </w:p>
      </w:sdtContent>
    </w:sdt>
    <w:p>
      <w:pPr>
        <w:pStyle w:val="Normal"/>
        <w:tabs>
          <w:tab w:val="left" w:pos="630" w:leader="none"/>
          <w:tab w:val="left" w:pos="720" w:leader="none"/>
          <w:tab w:val="right" w:pos="9000" w:leader="dot"/>
        </w:tabs>
        <w:ind w:hanging="720" w:start="720" w:end="0"/>
        <w:rPr>
          <w:rFonts w:ascii="Arial" w:hAnsi="Arial" w:cs="Arial"/>
          <w:b/>
          <w:lang w:val="en-CA"/>
        </w:rPr>
      </w:pPr>
      <w:r>
        <w:rPr>
          <w:rFonts w:cs="Arial" w:ascii="Arial" w:hAnsi="Arial"/>
          <w:b/>
          <w:lang w:val="en-CA"/>
        </w:rPr>
      </w:r>
    </w:p>
    <w:p>
      <w:pPr>
        <w:sectPr>
          <w:footerReference w:type="default" r:id="rId4"/>
          <w:footerReference w:type="first" r:id="rId5"/>
          <w:type w:val="nextPage"/>
          <w:pgSz w:w="12240" w:h="15840"/>
          <w:pgMar w:left="1440" w:right="1440" w:gutter="0" w:header="0" w:top="1296" w:footer="432" w:bottom="1008"/>
          <w:pgNumType w:start="1" w:fmt="lowerRoman"/>
          <w:formProt w:val="false"/>
          <w:titlePg/>
          <w:textDirection w:val="lrTb"/>
          <w:docGrid w:type="default" w:linePitch="360" w:charSpace="0"/>
        </w:sectPr>
        <w:pStyle w:val="Normal"/>
        <w:tabs>
          <w:tab w:val="left" w:pos="630" w:leader="none"/>
          <w:tab w:val="left" w:pos="720" w:leader="none"/>
          <w:tab w:val="right" w:pos="9000" w:leader="dot"/>
        </w:tabs>
        <w:rPr>
          <w:rFonts w:ascii="Arial" w:hAnsi="Arial" w:cs="Arial"/>
          <w:b/>
        </w:rPr>
      </w:pPr>
      <w:r>
        <w:rPr>
          <w:rFonts w:cs="Arial" w:ascii="Arial" w:hAnsi="Arial"/>
          <w:b/>
        </w:rPr>
      </w:r>
    </w:p>
    <w:p>
      <w:pPr>
        <w:pStyle w:val="Normal"/>
        <w:spacing w:before="0" w:after="240"/>
        <w:jc w:val="center"/>
        <w:rPr/>
      </w:pPr>
      <w:r>
        <w:rPr>
          <w:rFonts w:cs="Arial" w:ascii="Arial" w:hAnsi="Arial"/>
          <w:b/>
          <w:kern w:val="2"/>
          <w:sz w:val="22"/>
          <w:u w:val="single"/>
        </w:rPr>
        <w:t>ENRON ENERGY SERVICES LEGAL DEPARTMENT</w:t>
        <w:br/>
        <w:t>PENDING MATERIAL PROJECTS REPORT</w:t>
      </w:r>
      <w:r>
        <w:rPr>
          <w:rFonts w:cs="Arial" w:ascii="Arial" w:hAnsi="Arial"/>
          <w:b/>
        </w:rPr>
        <w:br/>
        <w:t>(dated as of November 15, 2000)</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0" w:name="__RefHeading___Toc498330288"/>
      <w:bookmarkEnd w:id="0"/>
      <w:r>
        <w:rPr/>
        <w:t>BUNDLED and NON-COMMODITY TRANSACTIONS.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General.</w:t>
      </w:r>
    </w:p>
    <w:p>
      <w:pPr>
        <w:pStyle w:val="Normal"/>
        <w:numPr>
          <w:ilvl w:val="0"/>
          <w:numId w:val="21"/>
        </w:numPr>
        <w:tabs>
          <w:tab w:val="left" w:pos="720" w:leader="none"/>
          <w:tab w:val="left" w:pos="1440" w:leader="none"/>
          <w:tab w:val="left" w:pos="2160" w:leader="none"/>
          <w:tab w:val="left" w:pos="2880" w:leader="none"/>
          <w:tab w:val="left" w:pos="3600" w:leader="none"/>
        </w:tabs>
        <w:spacing w:before="120" w:after="0"/>
        <w:ind w:hanging="720" w:start="2160" w:end="0"/>
        <w:rPr>
          <w:rFonts w:ascii="Arial" w:hAnsi="Arial" w:cs="Arial"/>
          <w:b/>
        </w:rPr>
      </w:pPr>
      <w:r>
        <w:rPr>
          <w:rFonts w:cs="Arial" w:ascii="Arial" w:hAnsi="Arial"/>
          <w:b/>
        </w:rPr>
        <w:t>Project Critical Path.</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conducting an ongoing review of our form contracts to improve alignment of our contract positions with our business goals, review our positions, and ultimately, develop materials to train new deal teams.  Legal, sales and structuring are involved in this initiative.  (Lawyers:  V. Sharp, D. Culver, M. Maynard, D. Asmus)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Bundled Transactions.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Citigroup.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 letter of intent for a bundled outsource transaction with Citigroup’s facilities in the United States.  (Lawyer:  W. Rapp;  Clients:  E. Swann, G. Provo)</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Blockbuster.</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b/>
        </w:rPr>
      </w:pPr>
      <w:r>
        <w:rPr/>
        <w:t>We are negotiating a new price structure and contract for facilities management services.  This is a renegotiation of an IPT contract.  (Lawyer:  D. Roland;  Clients:  L. Ward, N. Shah;  Outside Counsel:  H. Dunn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Eli Lilly.</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EESO has been selected as Eli Lilly’s commodity and energy management service provider for its Indiana facilities.  Negotiations of definitive documents are ongoing reflecting a structure which gives Eli Lilly significant tax advantages and EESO opportunity to monetize projected savings.  (Lawyer:  D. Culver, J. Keller;  Client:  M. Mann)</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IBM.</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 definitive agreement for a demand side management deal with IBM.  (Lawyer:  A. Ralston;  Clients:  J. Sparling, G. Muench;  Outside Counsel.  E. Silverman of Milbank, Tweed)</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J.C. Penney.</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an energy management agreement for commodity projects and O&amp;M services for J.C. Penney.  (Lawyer:  M. Maynard;  Clients:  A. Schwarz, G. Muench;  Outside Counsel:  M. Backus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Litton Systems Inc.</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EESO has executed a letter of intent to provide commodity and energy management services to Litton’s facilities and those of certain affiliates.  (Lawyer:  D. Asmus;  Clients:  M. Sorensen, M. Moore;  Outside Counsel:  Paul Pippitone of Andrews &amp; Kurth)</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Macerich/Macerich J.V.’s.</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closed a total energy outsource agreement with Macerich, a shopping center REIT, regarding wholly owned malls and malls which Macerich joint ventures with Simon and operates.  We will be closing on additional malls which Macerich joint ventures with Ontario Teachers and operates.  (Lawyer:  R. Freed;  Clients:  A. Schwarz, L. Ward, M. Chudecke;  Outside Counsel:  Ken Fenelon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Owens Illinois.</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EESO is negotiating documentation with Owens Illinois (O-I) to provide to their US facilities commodity and energy management services and financing for energy projects.  (Lawyer:  D. Roland, J. Keller;  Client:  M. Mann;  Outside Counsel:  J. Boeckman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Park Place Entertainment Corp.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a definitive agreement for energy management and project services to this major casino/hotel owner/operator.  (Lawyer:  R. Freed, M. Maynard;  Client:  D. Kirkley, E. Swann;  Outside Counsel:  K. Wong of Milbank, Tweed)</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Pepsi Bottling Group.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We are negotiating term sheets for an outsource agreement for PBG’s US facilities.  (Lawyers:  A. Ralston, M. Smith:  Client:  M. Jackson)</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Pilkington.</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EESO is negotiating with Pilkington to provide commodity and project services to Pilkington’s US facilities.  (Lawyer:  D. Asmus;  Clients:  M. Moore, R. Georgeoff;  Outside Counsel:  R. Tipton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jc w:val="both"/>
        <w:rPr>
          <w:rFonts w:ascii="Arial" w:hAnsi="Arial" w:cs="Arial"/>
          <w:b/>
        </w:rPr>
      </w:pPr>
      <w:r>
        <w:rPr>
          <w:rFonts w:cs="Arial" w:ascii="Arial" w:hAnsi="Arial"/>
          <w:b/>
        </w:rPr>
        <w:t>Quaker.</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We are negotiating a definitive agreement for a total outsource agreement with Quaker Foods (US and Canada).  (Lawyer:  R. Freed;  Clients:  R. Rathvon, G. Odland;  Outside Counsel:  J. Klauberg and J. Maas of LeBoeuf Lamb)</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Simon REIT/JV Properties.</w:t>
      </w:r>
    </w:p>
    <w:p>
      <w:pPr>
        <w:pStyle w:val="WW-BodyText24"/>
        <w:numPr>
          <w:ilvl w:val="0"/>
          <w:numId w:val="0"/>
        </w:numPr>
        <w:tabs>
          <w:tab w:val="left" w:pos="720" w:leader="none"/>
          <w:tab w:val="left" w:pos="1440" w:leader="none"/>
          <w:tab w:val="left" w:pos="2160" w:leader="none"/>
          <w:tab w:val="left" w:pos="2880" w:leader="none"/>
          <w:tab w:val="left" w:pos="3600" w:leader="none"/>
        </w:tabs>
        <w:spacing w:before="0" w:after="0"/>
        <w:ind w:hanging="0" w:start="2160" w:end="0"/>
        <w:rPr/>
      </w:pPr>
      <w:r>
        <w:rPr/>
        <w:t>We are currently finalizing additional outsource agreements with Simon’s partners and miscellaneous amendments to the contracts and subcontracts to implement the original deal.  (Lawyer:  M. Maynard, J. Keller;   Client:   A. Schwarz, J. Blachman;  Outside Counsel:   Ken Fenelon of Vinson &amp; Elkins)</w:t>
      </w:r>
    </w:p>
    <w:p>
      <w:pPr>
        <w:pStyle w:val="Normal"/>
        <w:numPr>
          <w:ilvl w:val="0"/>
          <w:numId w:val="18"/>
        </w:numPr>
        <w:tabs>
          <w:tab w:val="left" w:pos="720" w:leader="none"/>
          <w:tab w:val="left" w:pos="1440" w:leader="none"/>
          <w:tab w:val="left" w:pos="2160" w:leader="none"/>
          <w:tab w:val="left" w:pos="2880" w:leader="none"/>
        </w:tabs>
        <w:spacing w:before="120" w:after="0"/>
        <w:ind w:hanging="720" w:start="2160" w:end="0"/>
        <w:rPr>
          <w:rFonts w:ascii="Arial" w:hAnsi="Arial" w:cs="Arial"/>
          <w:b/>
        </w:rPr>
      </w:pPr>
      <w:r>
        <w:rPr>
          <w:rFonts w:cs="Arial" w:ascii="Arial" w:hAnsi="Arial"/>
          <w:b/>
        </w:rPr>
        <w:t>Termsheets:</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The following transactions are at termsheet stage:  Whirlpool (A. Ralston), Iowa Beef Processors (R. Freed), Saks (likely to be commodity only initially) (R. Freed).</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International (non-Europe).</w:t>
      </w:r>
    </w:p>
    <w:p>
      <w:pPr>
        <w:pStyle w:val="WW-BodyText24"/>
        <w:numPr>
          <w:ilvl w:val="0"/>
          <w:numId w:val="15"/>
        </w:numPr>
        <w:tabs>
          <w:tab w:val="left" w:pos="720" w:leader="none"/>
          <w:tab w:val="left" w:pos="2160" w:leader="none"/>
          <w:tab w:val="left" w:pos="2880" w:leader="none"/>
          <w:tab w:val="left" w:pos="3600" w:leader="none"/>
        </w:tabs>
        <w:ind w:hanging="720" w:start="2160" w:end="0"/>
        <w:rPr>
          <w:b/>
        </w:rPr>
      </w:pPr>
      <w:r>
        <w:rPr>
          <w:b/>
        </w:rPr>
        <w:t>TYCO Healthcare, L.P.</w:t>
      </w:r>
    </w:p>
    <w:p>
      <w:pPr>
        <w:pStyle w:val="Normal"/>
        <w:tabs>
          <w:tab w:val="left" w:pos="720" w:leader="none"/>
          <w:tab w:val="left" w:pos="1440" w:leader="none"/>
          <w:tab w:val="left" w:pos="2160" w:leader="none"/>
          <w:tab w:val="left" w:pos="2880" w:leader="none"/>
        </w:tabs>
        <w:ind w:start="2160" w:end="0"/>
        <w:jc w:val="both"/>
        <w:rPr>
          <w:rFonts w:ascii="Arial" w:hAnsi="Arial" w:cs="Arial"/>
        </w:rPr>
      </w:pPr>
      <w:r>
        <w:rPr>
          <w:rFonts w:cs="Arial" w:ascii="Arial" w:hAnsi="Arial"/>
        </w:rPr>
        <w:t>The total energy outsource transaction covering TYCO’s U.S. facilities closed in September, 1999.  We have delayed negotiations regarding the definitive agreements under which EESO would provide energy management and project services similar to those services provided under the terms of the US agreement for TYCO’s facilities located in Mexico, Puerto Rico and Canada pending the finalization of a large acquisition recently undertaken by TYCO.  (Lawyer:  D. Asmus;  Clients:  M. Sullivan, H. Buchanan;  Outside Counsel:  J. Boeckman of Vinson &amp; Elkins)</w:t>
      </w:r>
    </w:p>
    <w:p>
      <w:pPr>
        <w:pStyle w:val="Normal"/>
        <w:numPr>
          <w:ilvl w:val="0"/>
          <w:numId w:val="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Government Contracts.</w:t>
      </w:r>
    </w:p>
    <w:p>
      <w:pPr>
        <w:pStyle w:val="WW-BodyText24"/>
        <w:numPr>
          <w:ilvl w:val="0"/>
          <w:numId w:val="22"/>
        </w:numPr>
        <w:tabs>
          <w:tab w:val="left" w:pos="720" w:leader="none"/>
          <w:tab w:val="left" w:pos="2160" w:leader="none"/>
          <w:tab w:val="left" w:pos="3600" w:leader="none"/>
        </w:tabs>
        <w:ind w:firstLine="1080" w:start="360" w:end="0"/>
        <w:rPr>
          <w:b/>
        </w:rPr>
      </w:pPr>
      <w:r>
        <w:rPr>
          <w:b/>
        </w:rPr>
        <w:t>Bolling AFB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December 27 to assume ownership and operation of the utility distribution systems at Bolling AFB in Washington, D.C.  (Lawyer:  A. Ralston;  Client:  B. Votaw;  Outside Counsel:  Al Krachman of Bracewell &amp; Patterson)</w:t>
      </w:r>
    </w:p>
    <w:p>
      <w:pPr>
        <w:pStyle w:val="WW-BodyText24"/>
        <w:numPr>
          <w:ilvl w:val="0"/>
          <w:numId w:val="22"/>
        </w:numPr>
        <w:tabs>
          <w:tab w:val="left" w:pos="720" w:leader="none"/>
          <w:tab w:val="left" w:pos="2160" w:leader="none"/>
          <w:tab w:val="left" w:pos="3600" w:leader="none"/>
        </w:tabs>
        <w:ind w:firstLine="1080" w:start="360" w:end="0"/>
        <w:rPr>
          <w:b/>
        </w:rPr>
      </w:pPr>
      <w:r>
        <w:rPr>
          <w:b/>
        </w:rPr>
        <w:t>Fort Carson, CO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submitted our proposal on May 25, 1999 to assume ownership and operation of the utility (gas, water, electric) distribution systems for 10 years at this military base in Colorado.  The local utility (CSU) has filed suit against the Army in Federal Court arguing that under state law it has a monopoly to provide distribution services.  We have intervened in this lawsuit.  On July 19, 2000, the PUC for Colorado issued its Declaratory Order in our favor, stating that it would not subject the winning bidder to economic rate regulation.  On August 22, 2000 CSU appealed such order to state district court.  (Lawyer:  A. Ralston;  Client:  B. Votaw;  Outside Counsel:  John Klauberg and Mark Davidson of LeBoeuf, Lamb)</w:t>
      </w:r>
    </w:p>
    <w:p>
      <w:pPr>
        <w:pStyle w:val="WW-BodyText24"/>
        <w:numPr>
          <w:ilvl w:val="0"/>
          <w:numId w:val="22"/>
        </w:numPr>
        <w:tabs>
          <w:tab w:val="left" w:pos="720" w:leader="none"/>
          <w:tab w:val="left" w:pos="2160" w:leader="none"/>
          <w:tab w:val="left" w:pos="3600" w:leader="none"/>
        </w:tabs>
        <w:ind w:firstLine="1080" w:start="360" w:end="0"/>
        <w:rPr>
          <w:b/>
        </w:rPr>
      </w:pPr>
      <w:r>
        <w:rPr>
          <w:b/>
        </w:rPr>
        <w:t>Maxwell AFB, AL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January 8, 2001 to assume ownership and operation of the utility distribution systems at this Air Force base in Alabama.  (Lawyer:  A. Ralston;  Clients:  B. Votaw, J. Carr, Robert Frank;  Outside Counsel:  J. Klauberg of LeBoeuf Lamb, A. Krachman of Bracewell &amp; Patterson)</w:t>
      </w:r>
    </w:p>
    <w:p>
      <w:pPr>
        <w:pStyle w:val="WW-BodyText24"/>
        <w:numPr>
          <w:ilvl w:val="0"/>
          <w:numId w:val="22"/>
        </w:numPr>
        <w:tabs>
          <w:tab w:val="left" w:pos="720" w:leader="none"/>
          <w:tab w:val="left" w:pos="2160" w:leader="none"/>
          <w:tab w:val="left" w:pos="3600" w:leader="none"/>
        </w:tabs>
        <w:ind w:firstLine="1080" w:start="360" w:end="0"/>
        <w:rPr>
          <w:b/>
        </w:rPr>
      </w:pPr>
      <w:r>
        <w:rPr>
          <w:b/>
        </w:rPr>
        <w:t>MDW Utility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submitted a proposal on April 27 to assume ownership, operation and maintenance of the utility (gas, water, electric) distribution systems at various bases located in the Military District of Washington.  We expect the Government to award the project in 4Q.  Baltimore Gas &amp; Electric has sued the U.S. Army in order to prevent the granting of this award to any entity that is not a “utility” in the State of Maryland.  Virginia Electric Power Company has sued the Army to prevent the Army from awarding this contract because it claims that because the deal is “bundled” it is unable to compete in the procurement.  We have intervened in both these cases.  The hearing on the parties’ cross-motions for summary judgement in the BG&amp;E case will be held on December 8, 2000.  (Lawyer:  A. Ralston;  Client:  J. Carr;  Outside Counsel:   John Klauberg of LeBoeuf, Lamb, Al Krachman of Bracewell &amp; Patterson;  Litigation Counsel:  J. Shea of Venable Firm)</w:t>
      </w:r>
    </w:p>
    <w:p>
      <w:pPr>
        <w:pStyle w:val="WW-BodyText24"/>
        <w:numPr>
          <w:ilvl w:val="0"/>
          <w:numId w:val="22"/>
        </w:numPr>
        <w:tabs>
          <w:tab w:val="left" w:pos="720" w:leader="none"/>
          <w:tab w:val="left" w:pos="2160" w:leader="none"/>
          <w:tab w:val="left" w:pos="3600" w:leader="none"/>
        </w:tabs>
        <w:ind w:firstLine="1080" w:start="360" w:end="0"/>
        <w:rPr>
          <w:b/>
        </w:rPr>
      </w:pPr>
      <w:r>
        <w:rPr>
          <w:b/>
        </w:rPr>
        <w:t>Texas Regional Privatization.</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rPr>
      </w:pPr>
      <w:r>
        <w:rPr>
          <w:rFonts w:cs="Arial" w:ascii="Arial" w:hAnsi="Arial"/>
        </w:rPr>
        <w:t>We will submit a proposal on January 17, 2001 to assume ownership and operation of the utility distribution systems at a group of military bases in Texas.  (Lawyer:  A. Ralston;  Clients:  B. Votaw, J. Carr;  Outside Counsel: A. Krachman of Bracewell &amp; Patterson)</w:t>
      </w:r>
    </w:p>
    <w:p>
      <w:pPr>
        <w:pStyle w:val="WW-BodyText24"/>
        <w:numPr>
          <w:ilvl w:val="0"/>
          <w:numId w:val="22"/>
        </w:numPr>
        <w:tabs>
          <w:tab w:val="left" w:pos="720" w:leader="none"/>
          <w:tab w:val="left" w:pos="2160" w:leader="none"/>
          <w:tab w:val="left" w:pos="3600" w:leader="none"/>
        </w:tabs>
        <w:ind w:firstLine="1080" w:start="360" w:end="0"/>
        <w:rPr>
          <w:b/>
        </w:rPr>
      </w:pPr>
      <w:r>
        <w:rPr>
          <w:b/>
        </w:rPr>
        <w:t>Other.</w:t>
      </w:r>
    </w:p>
    <w:p>
      <w:pPr>
        <w:pStyle w:val="Normal"/>
        <w:numPr>
          <w:ilvl w:val="0"/>
          <w:numId w:val="0"/>
        </w:numPr>
        <w:tabs>
          <w:tab w:val="clear" w:pos="720"/>
          <w:tab w:val="left" w:pos="2160" w:leader="none"/>
          <w:tab w:val="left" w:pos="2880" w:leader="none"/>
          <w:tab w:val="left" w:pos="3600" w:leader="none"/>
        </w:tabs>
        <w:ind w:hanging="0" w:start="2160" w:end="0"/>
        <w:jc w:val="both"/>
        <w:rPr>
          <w:rFonts w:ascii="Arial" w:hAnsi="Arial" w:cs="Arial"/>
          <w:b/>
          <w:sz w:val="22"/>
        </w:rPr>
      </w:pPr>
      <w:r>
        <w:rPr>
          <w:rFonts w:cs="Arial" w:ascii="Arial" w:hAnsi="Arial"/>
        </w:rPr>
        <w:t>We are in the process of negotiating long term Teaming Agreements with Black &amp; Veatch and Del-Jen, Inc.  These two companies will be EFSI’s major subcontractors with respect to government work.  (Lawyer:  A. Ralston;  Client:  B. Votaw, D. Tarbet;  Outside Counsel:  A. Krachman of Bracewell &amp; Patterson)</w:t>
      </w:r>
    </w:p>
    <w:p>
      <w:pPr>
        <w:pStyle w:val="Heading1"/>
        <w:tabs>
          <w:tab w:val="clear" w:pos="720"/>
          <w:tab w:val="left" w:pos="1440" w:leader="none"/>
          <w:tab w:val="left" w:pos="2160" w:leader="none"/>
          <w:tab w:val="left" w:pos="2880" w:leader="none"/>
          <w:tab w:val="left" w:pos="3600" w:leader="none"/>
        </w:tabs>
        <w:ind w:hanging="0" w:start="0"/>
        <w:rPr/>
      </w:pPr>
      <w:bookmarkStart w:id="1" w:name="__RefHeading___Toc498330289"/>
      <w:bookmarkEnd w:id="1"/>
      <w:r>
        <w:rPr/>
        <w:t>POWER TRANSACTIONS.</w:t>
      </w:r>
    </w:p>
    <w:p>
      <w:pPr>
        <w:pStyle w:val="Normal"/>
        <w:keepNext w:val="true"/>
        <w:numPr>
          <w:ilvl w:val="0"/>
          <w:numId w:val="19"/>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Internet Project.</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have launched a business to business web offering of electricity to mid-market customers in the San Diego Gas &amp; Electric Co. service territory.  (Lawyer:  M. Castano;  Client:  M. Harris, S. Farrow;  Outside Counsel:  V. Polak and J. Dammon of LeBoeuf Lamb)</w:t>
      </w:r>
    </w:p>
    <w:p>
      <w:pPr>
        <w:pStyle w:val="Normal"/>
        <w:keepNext w:val="true"/>
        <w:numPr>
          <w:ilvl w:val="0"/>
          <w:numId w:val="19"/>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Mid Market Initiative.</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General Customer Transactions.</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We are continuing to support the negotiation of contracts that involve commodity management (pre-deregulation) and physical commodity delivery (post-deregulation) with various customers in Illinois, New Jersey, New York, Massachusetts, Maryland, Maine, New Hampshire, Rhode Island and Texas.  (Lawyers: J. Keller, M. Castano, M. Winn, M. Smith, E. Essandoh;  Clients:  various)</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Ohio First Energy Mid-Market Campaign.</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We are seeking a favorable rate on source generation and attempting to contract with mid-market customers to resell that generation for a 5-year period.  (Lawyers:  M. Smith, E. Donovan;  Clients:  J. Wood, G. Sharp;  Outside Counsel:  J. Maas of LeBoeuf, Lamb, Greene and MacRae)</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SDGE Mid-Market Blitz.</w:t>
      </w:r>
    </w:p>
    <w:p>
      <w:pPr>
        <w:pStyle w:val="BodyText"/>
        <w:tabs>
          <w:tab w:val="clear" w:pos="720"/>
          <w:tab w:val="left" w:pos="1440" w:leader="none"/>
          <w:tab w:val="left" w:pos="2160" w:leader="none"/>
          <w:tab w:val="left" w:pos="2880" w:leader="none"/>
          <w:tab w:val="left" w:pos="3600" w:leader="none"/>
        </w:tabs>
        <w:ind w:start="1440" w:end="0"/>
        <w:rPr/>
      </w:pPr>
      <w:r>
        <w:rPr/>
        <w:t>We have drafted a short-form contract and are negotiating several mid-market physical power transactions with customers in the San Diego Electric &amp; Gas Co. service territory.  (Lawyer:  M. Castano;  Client:  J. Wood)</w:t>
      </w:r>
    </w:p>
    <w:p>
      <w:pPr>
        <w:pStyle w:val="Normal"/>
        <w:numPr>
          <w:ilvl w:val="0"/>
          <w:numId w:val="12"/>
        </w:numPr>
        <w:tabs>
          <w:tab w:val="clear" w:pos="720"/>
          <w:tab w:val="left" w:pos="2160" w:leader="none"/>
        </w:tabs>
        <w:spacing w:before="120" w:after="0"/>
        <w:ind w:hanging="720" w:start="2160" w:end="0"/>
        <w:jc w:val="both"/>
        <w:rPr>
          <w:rFonts w:ascii="Arial" w:hAnsi="Arial" w:cs="Arial"/>
          <w:b/>
        </w:rPr>
      </w:pPr>
      <w:r>
        <w:rPr>
          <w:rFonts w:cs="Arial" w:ascii="Arial" w:hAnsi="Arial"/>
          <w:b/>
        </w:rPr>
        <w:t>ConEdison Mid-Market Campaign.</w:t>
      </w:r>
    </w:p>
    <w:p>
      <w:pPr>
        <w:pStyle w:val="BodyText"/>
        <w:tabs>
          <w:tab w:val="clear" w:pos="720"/>
          <w:tab w:val="left" w:pos="1440" w:leader="none"/>
          <w:tab w:val="left" w:pos="2160" w:leader="none"/>
          <w:tab w:val="left" w:pos="2880" w:leader="none"/>
          <w:tab w:val="left" w:pos="3600" w:leader="none"/>
        </w:tabs>
        <w:ind w:start="1440" w:end="0"/>
        <w:rPr/>
      </w:pPr>
      <w:r>
        <w:rPr/>
        <w:t>We have drafted a short-form contract and will launch a physical/financial power offering to prospects in the Con-Edison (NY) service territory, commencing late November.  (Lawyers:  M. Castano, M. Winn;  Client:  J. Wood:  Outside Counsel:  J. Maas of LeBoeuf, Lamb)</w:t>
      </w:r>
    </w:p>
    <w:p>
      <w:pPr>
        <w:pStyle w:val="Normal"/>
        <w:numPr>
          <w:ilvl w:val="0"/>
          <w:numId w:val="19"/>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Large Commodity Transactions.</w:t>
      </w:r>
    </w:p>
    <w:p>
      <w:pPr>
        <w:pStyle w:val="Normal"/>
        <w:numPr>
          <w:ilvl w:val="0"/>
          <w:numId w:val="10"/>
        </w:numPr>
        <w:spacing w:before="120" w:after="0"/>
        <w:ind w:hanging="720" w:start="2160" w:end="0"/>
        <w:jc w:val="both"/>
        <w:rPr>
          <w:rFonts w:ascii="Arial" w:hAnsi="Arial" w:cs="Arial"/>
          <w:b/>
        </w:rPr>
      </w:pPr>
      <w:r>
        <w:rPr>
          <w:rFonts w:cs="Arial" w:ascii="Arial" w:hAnsi="Arial"/>
          <w:b/>
        </w:rPr>
        <w:t>The following is a partial listing of commodity transactions under negotiation:</w:t>
      </w:r>
    </w:p>
    <w:p>
      <w:pPr>
        <w:pStyle w:val="Normal"/>
        <w:tabs>
          <w:tab w:val="clear" w:pos="720"/>
          <w:tab w:val="right" w:pos="10170" w:leader="none"/>
        </w:tabs>
        <w:ind w:start="2160" w:end="0"/>
        <w:jc w:val="both"/>
        <w:rPr/>
      </w:pPr>
      <w:r>
        <w:rPr>
          <w:rFonts w:cs="Arial" w:ascii="Arial" w:hAnsi="Arial"/>
        </w:rPr>
        <w:t xml:space="preserve">Albertson’s (Texas)  </w:t>
      </w:r>
      <w:r>
        <w:rPr>
          <w:rFonts w:cs="Arial" w:ascii="Arial" w:hAnsi="Arial"/>
          <w:b/>
        </w:rPr>
        <w:t>(CLOSED)</w:t>
        <w:tab/>
      </w:r>
      <w:r>
        <w:rPr>
          <w:rFonts w:cs="Arial" w:ascii="Arial" w:hAnsi="Arial"/>
        </w:rPr>
        <w:t>M. Smith</w:t>
      </w:r>
    </w:p>
    <w:p>
      <w:pPr>
        <w:pStyle w:val="Normal"/>
        <w:tabs>
          <w:tab w:val="clear" w:pos="720"/>
          <w:tab w:val="right" w:pos="10170" w:leader="none"/>
        </w:tabs>
        <w:ind w:start="2160" w:end="0"/>
        <w:jc w:val="both"/>
        <w:rPr>
          <w:rFonts w:ascii="Arial" w:hAnsi="Arial" w:cs="Arial"/>
        </w:rPr>
      </w:pPr>
      <w:r>
        <w:rPr>
          <w:rFonts w:cs="Arial" w:ascii="Arial" w:hAnsi="Arial"/>
        </w:rPr>
        <w:t>AMC Entertainment</w:t>
        <w:tab/>
        <w:t>E. Essandoh</w:t>
      </w:r>
    </w:p>
    <w:p>
      <w:pPr>
        <w:pStyle w:val="Normal"/>
        <w:tabs>
          <w:tab w:val="clear" w:pos="720"/>
          <w:tab w:val="right" w:pos="10170" w:leader="none"/>
        </w:tabs>
        <w:ind w:start="2160" w:end="0"/>
        <w:jc w:val="both"/>
        <w:rPr>
          <w:rFonts w:ascii="Arial" w:hAnsi="Arial" w:cs="Arial"/>
        </w:rPr>
      </w:pPr>
      <w:r>
        <w:rPr>
          <w:rFonts w:cs="Arial" w:ascii="Arial" w:hAnsi="Arial"/>
        </w:rPr>
        <w:t>Ameritech</w:t>
        <w:tab/>
        <w:t>E. Donovan</w:t>
      </w:r>
    </w:p>
    <w:p>
      <w:pPr>
        <w:pStyle w:val="Normal"/>
        <w:tabs>
          <w:tab w:val="clear" w:pos="720"/>
          <w:tab w:val="right" w:pos="10170" w:leader="none"/>
        </w:tabs>
        <w:ind w:start="2160" w:end="0"/>
        <w:jc w:val="both"/>
        <w:rPr>
          <w:rFonts w:ascii="Arial" w:hAnsi="Arial" w:cs="Arial"/>
        </w:rPr>
      </w:pPr>
      <w:r>
        <w:rPr>
          <w:rFonts w:cs="Arial" w:ascii="Arial" w:hAnsi="Arial"/>
        </w:rPr>
        <w:t>BGF Industries</w:t>
        <w:tab/>
        <w:t>J. Keller</w:t>
      </w:r>
    </w:p>
    <w:p>
      <w:pPr>
        <w:pStyle w:val="Normal"/>
        <w:tabs>
          <w:tab w:val="clear" w:pos="720"/>
          <w:tab w:val="right" w:pos="10170" w:leader="none"/>
        </w:tabs>
        <w:ind w:start="2160" w:end="0"/>
        <w:jc w:val="both"/>
        <w:rPr>
          <w:rFonts w:ascii="Arial" w:hAnsi="Arial" w:cs="Arial"/>
        </w:rPr>
      </w:pPr>
      <w:r>
        <w:rPr>
          <w:rFonts w:cs="Arial" w:ascii="Arial" w:hAnsi="Arial"/>
        </w:rPr>
        <w:t>BJ Wholesale</w:t>
        <w:tab/>
        <w:t>J. Keller</w:t>
      </w:r>
    </w:p>
    <w:p>
      <w:pPr>
        <w:pStyle w:val="Normal"/>
        <w:tabs>
          <w:tab w:val="clear" w:pos="720"/>
          <w:tab w:val="right" w:pos="10170" w:leader="none"/>
        </w:tabs>
        <w:ind w:start="2160" w:end="0"/>
        <w:jc w:val="both"/>
        <w:rPr>
          <w:rFonts w:ascii="Arial" w:hAnsi="Arial" w:cs="Arial"/>
        </w:rPr>
      </w:pPr>
      <w:r>
        <w:rPr>
          <w:rFonts w:cs="Arial" w:ascii="Arial" w:hAnsi="Arial"/>
        </w:rPr>
        <w:t>Brookshire Groceries</w:t>
        <w:tab/>
        <w:t>J. Keller</w:t>
      </w:r>
    </w:p>
    <w:p>
      <w:pPr>
        <w:pStyle w:val="Normal"/>
        <w:tabs>
          <w:tab w:val="clear" w:pos="720"/>
          <w:tab w:val="right" w:pos="10170" w:leader="none"/>
        </w:tabs>
        <w:ind w:start="2160" w:end="0"/>
        <w:jc w:val="both"/>
        <w:rPr>
          <w:rFonts w:ascii="Arial" w:hAnsi="Arial" w:cs="Arial"/>
        </w:rPr>
      </w:pPr>
      <w:r>
        <w:rPr>
          <w:rFonts w:cs="Arial" w:ascii="Arial" w:hAnsi="Arial"/>
        </w:rPr>
        <w:t>Catholic Healthcare East</w:t>
        <w:tab/>
        <w:t>E. Essandoh</w:t>
      </w:r>
    </w:p>
    <w:p>
      <w:pPr>
        <w:pStyle w:val="Normal"/>
        <w:tabs>
          <w:tab w:val="clear" w:pos="720"/>
          <w:tab w:val="right" w:pos="10170" w:leader="none"/>
        </w:tabs>
        <w:ind w:start="2160" w:end="0"/>
        <w:jc w:val="both"/>
        <w:rPr>
          <w:rFonts w:ascii="Arial" w:hAnsi="Arial" w:cs="Arial"/>
        </w:rPr>
      </w:pPr>
      <w:r>
        <w:rPr>
          <w:rFonts w:cs="Arial" w:ascii="Arial" w:hAnsi="Arial"/>
        </w:rPr>
        <w:t>Deutsche Bank</w:t>
        <w:tab/>
        <w:t>E. Essandoh</w:t>
      </w:r>
    </w:p>
    <w:p>
      <w:pPr>
        <w:pStyle w:val="Normal"/>
        <w:tabs>
          <w:tab w:val="clear" w:pos="720"/>
          <w:tab w:val="right" w:pos="10170" w:leader="none"/>
        </w:tabs>
        <w:ind w:start="2160" w:end="0"/>
        <w:jc w:val="both"/>
        <w:rPr>
          <w:rFonts w:ascii="Arial" w:hAnsi="Arial" w:cs="Arial"/>
        </w:rPr>
      </w:pPr>
      <w:r>
        <w:rPr>
          <w:rFonts w:cs="Arial" w:ascii="Arial" w:hAnsi="Arial"/>
        </w:rPr>
        <w:t>Enron Compression Services</w:t>
        <w:tab/>
        <w:t>M. Smith</w:t>
      </w:r>
    </w:p>
    <w:p>
      <w:pPr>
        <w:pStyle w:val="Normal"/>
        <w:tabs>
          <w:tab w:val="clear" w:pos="720"/>
          <w:tab w:val="right" w:pos="10170" w:leader="none"/>
        </w:tabs>
        <w:ind w:start="2160" w:end="0"/>
        <w:jc w:val="both"/>
        <w:rPr>
          <w:rFonts w:ascii="Arial" w:hAnsi="Arial" w:cs="Arial"/>
        </w:rPr>
      </w:pPr>
      <w:r>
        <w:rPr>
          <w:rFonts w:cs="Arial" w:ascii="Arial" w:hAnsi="Arial"/>
        </w:rPr>
        <w:t>FMC</w:t>
        <w:tab/>
        <w:t>J. Keller</w:t>
      </w:r>
    </w:p>
    <w:p>
      <w:pPr>
        <w:pStyle w:val="Normal"/>
        <w:tabs>
          <w:tab w:val="clear" w:pos="720"/>
          <w:tab w:val="right" w:pos="10170" w:leader="none"/>
        </w:tabs>
        <w:ind w:start="2160" w:end="0"/>
        <w:jc w:val="both"/>
        <w:rPr>
          <w:rFonts w:ascii="Arial" w:hAnsi="Arial" w:cs="Arial"/>
        </w:rPr>
      </w:pPr>
      <w:r>
        <w:rPr>
          <w:rFonts w:cs="Arial" w:ascii="Arial" w:hAnsi="Arial"/>
        </w:rPr>
        <w:t>General Growth Joint Venture Partners</w:t>
        <w:tab/>
        <w:t>M. Smith</w:t>
      </w:r>
    </w:p>
    <w:p>
      <w:pPr>
        <w:pStyle w:val="Normal"/>
        <w:tabs>
          <w:tab w:val="clear" w:pos="720"/>
          <w:tab w:val="right" w:pos="10170" w:leader="none"/>
        </w:tabs>
        <w:ind w:start="2160" w:end="0"/>
        <w:jc w:val="both"/>
        <w:rPr/>
      </w:pPr>
      <w:r>
        <w:rPr>
          <w:rFonts w:cs="Arial" w:ascii="Arial" w:hAnsi="Arial"/>
        </w:rPr>
        <w:t xml:space="preserve">Hyatt (California) </w:t>
      </w:r>
      <w:r>
        <w:rPr>
          <w:rFonts w:cs="Arial" w:ascii="Arial" w:hAnsi="Arial"/>
          <w:b/>
        </w:rPr>
        <w:t>(CLOSED)</w:t>
      </w:r>
      <w:r>
        <w:rPr>
          <w:rFonts w:cs="Arial" w:ascii="Arial" w:hAnsi="Arial"/>
        </w:rPr>
        <w:tab/>
        <w:t>E. Essandoh</w:t>
      </w:r>
    </w:p>
    <w:p>
      <w:pPr>
        <w:pStyle w:val="Normal"/>
        <w:tabs>
          <w:tab w:val="clear" w:pos="720"/>
          <w:tab w:val="right" w:pos="10170" w:leader="none"/>
        </w:tabs>
        <w:ind w:start="2160" w:end="0"/>
        <w:jc w:val="both"/>
        <w:rPr>
          <w:rFonts w:ascii="Arial" w:hAnsi="Arial" w:cs="Arial"/>
        </w:rPr>
      </w:pPr>
      <w:r>
        <w:rPr>
          <w:rFonts w:cs="Arial" w:ascii="Arial" w:hAnsi="Arial"/>
        </w:rPr>
        <w:t>International Specialty</w:t>
        <w:tab/>
        <w:t>J. Keller</w:t>
      </w:r>
    </w:p>
    <w:p>
      <w:pPr>
        <w:pStyle w:val="Normal"/>
        <w:tabs>
          <w:tab w:val="clear" w:pos="720"/>
          <w:tab w:val="right" w:pos="10170" w:leader="none"/>
        </w:tabs>
        <w:ind w:start="2160" w:end="0"/>
        <w:jc w:val="both"/>
        <w:rPr>
          <w:rFonts w:ascii="Arial" w:hAnsi="Arial" w:cs="Arial"/>
        </w:rPr>
      </w:pPr>
      <w:r>
        <w:rPr>
          <w:rFonts w:cs="Arial" w:ascii="Arial" w:hAnsi="Arial"/>
        </w:rPr>
        <w:t>Lucent</w:t>
        <w:tab/>
        <w:t>E. Donovan</w:t>
      </w:r>
    </w:p>
    <w:p>
      <w:pPr>
        <w:pStyle w:val="Normal"/>
        <w:tabs>
          <w:tab w:val="clear" w:pos="720"/>
          <w:tab w:val="right" w:pos="10170" w:leader="none"/>
        </w:tabs>
        <w:ind w:start="2160" w:end="0"/>
        <w:jc w:val="both"/>
        <w:rPr>
          <w:rFonts w:ascii="Arial" w:hAnsi="Arial" w:cs="Arial"/>
        </w:rPr>
      </w:pPr>
      <w:r>
        <w:rPr>
          <w:rFonts w:cs="Arial" w:ascii="Arial" w:hAnsi="Arial"/>
        </w:rPr>
        <w:t>Mass:  Muni Aggregation</w:t>
        <w:tab/>
        <w:t>M. Smith/E. Donovan</w:t>
      </w:r>
    </w:p>
    <w:p>
      <w:pPr>
        <w:pStyle w:val="Normal"/>
        <w:tabs>
          <w:tab w:val="clear" w:pos="720"/>
          <w:tab w:val="right" w:pos="10170" w:leader="none"/>
        </w:tabs>
        <w:ind w:start="2160" w:end="0"/>
        <w:jc w:val="both"/>
        <w:rPr>
          <w:rFonts w:ascii="Arial" w:hAnsi="Arial" w:cs="Arial"/>
        </w:rPr>
      </w:pPr>
      <w:r>
        <w:rPr>
          <w:rFonts w:cs="Arial" w:ascii="Arial" w:hAnsi="Arial"/>
        </w:rPr>
        <w:t>Motorola Corporation</w:t>
        <w:tab/>
        <w:t>E. Essandoh</w:t>
      </w:r>
    </w:p>
    <w:p>
      <w:pPr>
        <w:pStyle w:val="Normal"/>
        <w:tabs>
          <w:tab w:val="clear" w:pos="720"/>
          <w:tab w:val="right" w:pos="10170" w:leader="none"/>
        </w:tabs>
        <w:ind w:start="2160" w:end="0"/>
        <w:jc w:val="both"/>
        <w:rPr>
          <w:rFonts w:ascii="Arial" w:hAnsi="Arial" w:cs="Arial"/>
        </w:rPr>
      </w:pPr>
      <w:r>
        <w:rPr>
          <w:rFonts w:cs="Arial" w:ascii="Arial" w:hAnsi="Arial"/>
        </w:rPr>
        <w:t>NYU Hospital</w:t>
        <w:tab/>
        <w:t>E. Essandoh</w:t>
      </w:r>
    </w:p>
    <w:p>
      <w:pPr>
        <w:pStyle w:val="Normal"/>
        <w:tabs>
          <w:tab w:val="clear" w:pos="720"/>
          <w:tab w:val="right" w:pos="10170" w:leader="none"/>
        </w:tabs>
        <w:ind w:start="2160" w:end="0"/>
        <w:jc w:val="both"/>
        <w:rPr>
          <w:rFonts w:ascii="Arial" w:hAnsi="Arial" w:cs="Arial"/>
        </w:rPr>
      </w:pPr>
      <w:r>
        <w:rPr>
          <w:rFonts w:cs="Arial" w:ascii="Arial" w:hAnsi="Arial"/>
        </w:rPr>
        <w:t>Related Properties Co.</w:t>
        <w:tab/>
        <w:t>E. Essandoh</w:t>
      </w:r>
    </w:p>
    <w:p>
      <w:pPr>
        <w:pStyle w:val="Normal"/>
        <w:tabs>
          <w:tab w:val="clear" w:pos="720"/>
          <w:tab w:val="right" w:pos="10170" w:leader="none"/>
        </w:tabs>
        <w:ind w:start="2160" w:end="0"/>
        <w:jc w:val="both"/>
        <w:rPr/>
      </w:pPr>
      <w:r>
        <w:rPr>
          <w:rFonts w:cs="Arial" w:ascii="Arial" w:hAnsi="Arial"/>
        </w:rPr>
        <w:t xml:space="preserve">Shaw’s Supermarkets  (Massachusetts) </w:t>
      </w:r>
      <w:r>
        <w:rPr>
          <w:rFonts w:cs="Arial" w:ascii="Arial" w:hAnsi="Arial"/>
          <w:b/>
        </w:rPr>
        <w:t>(CLOSED)</w:t>
      </w:r>
      <w:r>
        <w:rPr>
          <w:rFonts w:cs="Arial" w:ascii="Arial" w:hAnsi="Arial"/>
        </w:rPr>
        <w:tab/>
        <w:t>M. Smith</w:t>
      </w:r>
    </w:p>
    <w:p>
      <w:pPr>
        <w:pStyle w:val="Normal"/>
        <w:tabs>
          <w:tab w:val="clear" w:pos="720"/>
          <w:tab w:val="right" w:pos="10170" w:leader="none"/>
        </w:tabs>
        <w:ind w:start="2160" w:end="0"/>
        <w:jc w:val="both"/>
        <w:rPr>
          <w:rFonts w:ascii="Arial" w:hAnsi="Arial" w:cs="Arial"/>
        </w:rPr>
      </w:pPr>
      <w:r>
        <w:rPr>
          <w:rFonts w:cs="Arial" w:ascii="Arial" w:hAnsi="Arial"/>
        </w:rPr>
        <w:t>St. Gobain</w:t>
        <w:tab/>
        <w:t>E. Donovan</w:t>
      </w:r>
    </w:p>
    <w:p>
      <w:pPr>
        <w:pStyle w:val="Normal"/>
        <w:tabs>
          <w:tab w:val="clear" w:pos="720"/>
          <w:tab w:val="right" w:pos="10170" w:leader="none"/>
        </w:tabs>
        <w:ind w:start="2160" w:end="0"/>
        <w:jc w:val="both"/>
        <w:rPr>
          <w:rFonts w:ascii="Arial" w:hAnsi="Arial" w:cs="Arial"/>
        </w:rPr>
      </w:pPr>
      <w:r>
        <w:rPr>
          <w:rFonts w:cs="Arial" w:ascii="Arial" w:hAnsi="Arial"/>
        </w:rPr>
        <w:t>Texas Instruments</w:t>
        <w:tab/>
        <w:t>J. Keller</w:t>
      </w:r>
    </w:p>
    <w:p>
      <w:pPr>
        <w:pStyle w:val="Normal"/>
        <w:tabs>
          <w:tab w:val="clear" w:pos="720"/>
          <w:tab w:val="right" w:pos="10170" w:leader="none"/>
        </w:tabs>
        <w:ind w:start="2160" w:end="0"/>
        <w:jc w:val="both"/>
        <w:rPr/>
      </w:pPr>
      <w:r>
        <w:rPr>
          <w:rFonts w:cs="Arial" w:ascii="Arial" w:hAnsi="Arial"/>
        </w:rPr>
        <w:t xml:space="preserve">Target (Texas) </w:t>
      </w:r>
      <w:r>
        <w:rPr>
          <w:rFonts w:cs="Arial" w:ascii="Arial" w:hAnsi="Arial"/>
          <w:b/>
        </w:rPr>
        <w:t>(CLOSED)</w:t>
      </w:r>
      <w:r>
        <w:rPr>
          <w:rFonts w:cs="Arial" w:ascii="Arial" w:hAnsi="Arial"/>
        </w:rPr>
        <w:tab/>
        <w:t>M. Smith</w:t>
      </w:r>
    </w:p>
    <w:p>
      <w:pPr>
        <w:pStyle w:val="Normal"/>
        <w:tabs>
          <w:tab w:val="clear" w:pos="720"/>
          <w:tab w:val="right" w:pos="10170" w:leader="none"/>
        </w:tabs>
        <w:ind w:start="2160" w:end="0"/>
        <w:jc w:val="both"/>
        <w:rPr>
          <w:rFonts w:ascii="Arial" w:hAnsi="Arial" w:cs="Arial"/>
        </w:rPr>
      </w:pPr>
      <w:r>
        <w:rPr>
          <w:rFonts w:cs="Arial" w:ascii="Arial" w:hAnsi="Arial"/>
        </w:rPr>
        <w:t>Target (California)</w:t>
        <w:tab/>
        <w:t xml:space="preserve"> E. Essandoh</w:t>
      </w:r>
    </w:p>
    <w:p>
      <w:pPr>
        <w:pStyle w:val="Normal"/>
        <w:tabs>
          <w:tab w:val="clear" w:pos="720"/>
          <w:tab w:val="right" w:pos="10170" w:leader="none"/>
        </w:tabs>
        <w:ind w:start="2160" w:end="0"/>
        <w:jc w:val="both"/>
        <w:rPr>
          <w:rFonts w:ascii="Arial" w:hAnsi="Arial" w:cs="Arial"/>
        </w:rPr>
      </w:pPr>
      <w:r>
        <w:rPr>
          <w:rFonts w:cs="Arial" w:ascii="Arial" w:hAnsi="Arial"/>
        </w:rPr>
        <w:t>United Technologies Corporation</w:t>
        <w:tab/>
        <w:t>E. Donovan</w:t>
      </w:r>
    </w:p>
    <w:p>
      <w:pPr>
        <w:pStyle w:val="Normal"/>
        <w:tabs>
          <w:tab w:val="clear" w:pos="720"/>
          <w:tab w:val="right" w:pos="10170" w:leader="none"/>
        </w:tabs>
        <w:ind w:start="2160" w:end="0"/>
        <w:jc w:val="both"/>
        <w:rPr>
          <w:rFonts w:ascii="Arial" w:hAnsi="Arial" w:cs="Arial"/>
        </w:rPr>
      </w:pPr>
      <w:r>
        <w:rPr>
          <w:rFonts w:cs="Arial" w:ascii="Arial" w:hAnsi="Arial"/>
        </w:rPr>
        <w:t>Verizon</w:t>
        <w:tab/>
        <w:t>M. Smith</w:t>
      </w:r>
    </w:p>
    <w:p>
      <w:pPr>
        <w:pStyle w:val="Normal"/>
        <w:tabs>
          <w:tab w:val="clear" w:pos="720"/>
          <w:tab w:val="right" w:pos="10170" w:leader="none"/>
        </w:tabs>
        <w:ind w:start="2160" w:end="0"/>
        <w:jc w:val="both"/>
        <w:rPr>
          <w:rFonts w:ascii="Arial" w:hAnsi="Arial" w:cs="Arial"/>
        </w:rPr>
      </w:pPr>
      <w:r>
        <w:rPr>
          <w:rFonts w:cs="Arial" w:ascii="Arial" w:hAnsi="Arial"/>
        </w:rPr>
        <w:t>Vetrotex</w:t>
        <w:tab/>
        <w:t>J. Keller</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2" w:name="__RefHeading___Toc498330290"/>
      <w:bookmarkEnd w:id="2"/>
      <w:r>
        <w:rPr/>
        <w:t>GAS TRANSACTIONS.</w:t>
      </w:r>
    </w:p>
    <w:p>
      <w:pPr>
        <w:pStyle w:val="Normal"/>
        <w:keepNext w:val="true"/>
        <w:numPr>
          <w:ilvl w:val="0"/>
          <w:numId w:val="7"/>
        </w:numPr>
        <w:tabs>
          <w:tab w:val="left" w:pos="720" w:leader="none"/>
          <w:tab w:val="left" w:pos="144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Internet Project.</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are assisting in formulation of a business to business web offering whereby natural gas and electricity products will be sold over the web to mid-market commercial end-users. We plan to file a business process patent application related to the site.  (Lawyer:  M. Castano;  Client:  M. Harris;  Outside Counsel:  V. Polak of LeBoeuf Lamb, B. Bumgardner of Vinson &amp; Elkins)</w:t>
      </w:r>
    </w:p>
    <w:p>
      <w:pPr>
        <w:pStyle w:val="Heading1"/>
        <w:tabs>
          <w:tab w:val="clear" w:pos="720"/>
          <w:tab w:val="left" w:pos="1440" w:leader="none"/>
          <w:tab w:val="left" w:pos="2160" w:leader="none"/>
          <w:tab w:val="left" w:pos="2880" w:leader="none"/>
          <w:tab w:val="left" w:pos="3600" w:leader="none"/>
        </w:tabs>
        <w:ind w:hanging="0" w:start="0"/>
        <w:rPr/>
      </w:pPr>
      <w:bookmarkStart w:id="3" w:name="__RefHeading___Toc498330291"/>
      <w:bookmarkEnd w:id="3"/>
      <w:r>
        <w:rPr/>
        <w:t>Fulfillment (Including value enhancement).</w:t>
      </w:r>
    </w:p>
    <w:p>
      <w:pPr>
        <w:pStyle w:val="Normal"/>
        <w:numPr>
          <w:ilvl w:val="0"/>
          <w:numId w:val="16"/>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Contract Restructurings and Value Enhancement.</w:t>
      </w:r>
    </w:p>
    <w:p>
      <w:pPr>
        <w:pStyle w:val="WW-BodyText24"/>
        <w:numPr>
          <w:ilvl w:val="0"/>
          <w:numId w:val="17"/>
        </w:numPr>
        <w:tabs>
          <w:tab w:val="left" w:pos="720" w:leader="none"/>
        </w:tabs>
        <w:ind w:hanging="720" w:start="2160" w:end="0"/>
        <w:rPr>
          <w:b/>
        </w:rPr>
      </w:pPr>
      <w:r>
        <w:rPr>
          <w:b/>
        </w:rPr>
        <w:t>Chase.</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adding design and construction management activities to the Chase commodity contract.  (Lawyers:  A. Wu, P. Grant;  Clients:  G. Provo, C. Wisseman)</w:t>
      </w:r>
    </w:p>
    <w:p>
      <w:pPr>
        <w:pStyle w:val="WW-BodyText24"/>
        <w:numPr>
          <w:ilvl w:val="0"/>
          <w:numId w:val="17"/>
        </w:numPr>
        <w:tabs>
          <w:tab w:val="left" w:pos="720" w:leader="none"/>
        </w:tabs>
        <w:ind w:hanging="720" w:start="2160" w:end="0"/>
        <w:rPr>
          <w:b/>
        </w:rPr>
      </w:pPr>
      <w:r>
        <w:rPr>
          <w:b/>
        </w:rPr>
        <w:t>Electric Commodity Contracts.</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currently in the process of restructuring several current electric commodity contracts to accommodate customer requirements and shifts in market conditions, including contracts for Cisco Systems, Durst, Genentech and Silicon Graphics and have finalized termination of our previous contract with Sun Microsystems.  (Lawyer:  A. Wu;  Clients:  E. Melvin, M. Jackson, Account Managers)</w:t>
      </w:r>
    </w:p>
    <w:p>
      <w:pPr>
        <w:pStyle w:val="WW-BodyText24"/>
        <w:numPr>
          <w:ilvl w:val="0"/>
          <w:numId w:val="17"/>
        </w:numPr>
        <w:tabs>
          <w:tab w:val="left" w:pos="720" w:leader="none"/>
        </w:tabs>
        <w:ind w:hanging="720" w:start="2160" w:end="0"/>
        <w:rPr>
          <w:b/>
        </w:rPr>
      </w:pPr>
      <w:r>
        <w:rPr>
          <w:b/>
        </w:rPr>
        <w:t>Lockheed Martin.</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restructuring the Lockheed Martin transformer construction and financing transaction to cancel the contract and hand over the transformer.  Because of the volatile California electricity market, cancellation will result in additional earnings to EES.  (Lawyer:  A. Wu;  Clients:  E. Melvin, M. Jackson, D. Bergmann)</w:t>
      </w:r>
    </w:p>
    <w:p>
      <w:pPr>
        <w:pStyle w:val="WW-BodyText24"/>
        <w:numPr>
          <w:ilvl w:val="0"/>
          <w:numId w:val="17"/>
        </w:numPr>
        <w:tabs>
          <w:tab w:val="left" w:pos="720" w:leader="none"/>
        </w:tabs>
        <w:ind w:hanging="720" w:start="2160" w:end="0"/>
        <w:rPr>
          <w:b/>
        </w:rPr>
      </w:pPr>
      <w:r>
        <w:rPr>
          <w:b/>
        </w:rPr>
        <w:t>Owens-Corning – Canada.</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have established procedures and processes for transacting natural gas business in Canada.  We are pursuing power marketer licenses in Ontario and Alberta.  (Lawyers:  A. Wu, M. Castano, D. Culver;  Clients:  E. Melvin, M. Jackson, J. Hamman)</w:t>
      </w:r>
    </w:p>
    <w:p>
      <w:pPr>
        <w:pStyle w:val="WW-BodyText24"/>
        <w:numPr>
          <w:ilvl w:val="0"/>
          <w:numId w:val="17"/>
        </w:numPr>
        <w:tabs>
          <w:tab w:val="left" w:pos="720" w:leader="none"/>
        </w:tabs>
        <w:ind w:hanging="720" w:start="2160" w:end="0"/>
        <w:rPr>
          <w:b/>
        </w:rPr>
      </w:pPr>
      <w:r>
        <w:rPr>
          <w:b/>
        </w:rPr>
        <w:t>Suiza.</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investigating revised credit support (letter of credit/guarantee) requirements for Suiza projects. (Lawyer:  Unassigned;  Clients:  E. Melvin, M. Jackson)</w:t>
      </w:r>
    </w:p>
    <w:p>
      <w:pPr>
        <w:pStyle w:val="WW-BodyText24"/>
        <w:numPr>
          <w:ilvl w:val="0"/>
          <w:numId w:val="17"/>
        </w:numPr>
        <w:tabs>
          <w:tab w:val="left" w:pos="720" w:leader="none"/>
        </w:tabs>
        <w:ind w:hanging="720" w:start="2160" w:end="0"/>
        <w:rPr>
          <w:b/>
        </w:rPr>
      </w:pPr>
      <w:r>
        <w:rPr>
          <w:b/>
        </w:rPr>
        <w:t>UC/CSU.</w:t>
      </w:r>
    </w:p>
    <w:p>
      <w:pPr>
        <w:pStyle w:val="WW-BodyText24"/>
        <w:tabs>
          <w:tab w:val="left" w:pos="720" w:leader="none"/>
          <w:tab w:val="left" w:pos="1440" w:leader="none"/>
          <w:tab w:val="left" w:pos="2160" w:leader="none"/>
          <w:tab w:val="left" w:pos="2880" w:leader="none"/>
          <w:tab w:val="left" w:pos="3600" w:leader="none"/>
        </w:tabs>
        <w:spacing w:before="0" w:after="0"/>
        <w:ind w:start="2160" w:end="0"/>
        <w:rPr/>
      </w:pPr>
      <w:r>
        <w:rPr/>
        <w:t>We are negotiating a two-year extension to our existing contract with UC/CSU.  (Lawyer:  A. Wu;  Clients:  E. Melvin, M. Jackson, T. Riley)</w:t>
      </w:r>
    </w:p>
    <w:p>
      <w:pPr>
        <w:pStyle w:val="Heading1"/>
        <w:tabs>
          <w:tab w:val="clear" w:pos="720"/>
          <w:tab w:val="left" w:pos="1440" w:leader="none"/>
          <w:tab w:val="left" w:pos="2160" w:leader="none"/>
          <w:tab w:val="left" w:pos="2880" w:leader="none"/>
          <w:tab w:val="left" w:pos="3600" w:leader="none"/>
        </w:tabs>
        <w:ind w:hanging="0" w:start="0"/>
        <w:rPr/>
      </w:pPr>
      <w:bookmarkStart w:id="4" w:name="__RefHeading___Toc498330292"/>
      <w:bookmarkEnd w:id="4"/>
      <w:r>
        <w:rPr/>
        <w:t>NEW BUSINESSES AND MARKETS; PRODUCT DEVELOPMENT; Initiatives.</w:t>
      </w:r>
    </w:p>
    <w:p>
      <w:pPr>
        <w:pStyle w:val="Normal"/>
        <w:numPr>
          <w:ilvl w:val="0"/>
          <w:numId w:val="14"/>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New Insurance Product.</w:t>
      </w:r>
    </w:p>
    <w:p>
      <w:pPr>
        <w:pStyle w:val="BodyText"/>
        <w:tabs>
          <w:tab w:val="clear" w:pos="720"/>
          <w:tab w:val="left" w:pos="1440" w:leader="none"/>
          <w:tab w:val="left" w:pos="2160" w:leader="none"/>
          <w:tab w:val="left" w:pos="2880" w:leader="none"/>
          <w:tab w:val="left" w:pos="3600" w:leader="none"/>
        </w:tabs>
        <w:ind w:start="1440" w:end="0"/>
        <w:rPr/>
      </w:pPr>
      <w:r>
        <w:rPr/>
        <w:t>We are assisting EES Corporate Development in the development of a new insurance product to be offered to mid-market non-residential consumers to insure against commodity price spikes.  (Lawyer:  D. Roland;  Client:  J. Golden;  Outside Counsel:  B. Wright of LeBoeuf, Lamb;  D. Mitchell of Cadwalader, Wickersham &amp; Taft)</w:t>
      </w:r>
      <w:bookmarkStart w:id="5" w:name="__RefHeading___Toc498330293"/>
    </w:p>
    <w:p>
      <w:pPr>
        <w:pStyle w:val="Heading1"/>
        <w:keepNext w:val="false"/>
        <w:tabs>
          <w:tab w:val="clear" w:pos="720"/>
          <w:tab w:val="left" w:pos="1440" w:leader="none"/>
          <w:tab w:val="left" w:pos="2160" w:leader="none"/>
          <w:tab w:val="left" w:pos="2880" w:leader="none"/>
          <w:tab w:val="left" w:pos="3600" w:leader="none"/>
        </w:tabs>
        <w:ind w:hanging="0" w:start="0"/>
        <w:rPr/>
      </w:pPr>
      <w:r>
        <w:rPr/>
        <w:t>MERGERS &amp; ACQUISITIONS;  STRATEGIC RELATIONSHIPS;  FINANCINGS.</w:t>
      </w:r>
      <w:bookmarkEnd w:id="5"/>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CSC.</w:t>
      </w:r>
    </w:p>
    <w:p>
      <w:pPr>
        <w:pStyle w:val="BodyText"/>
        <w:tabs>
          <w:tab w:val="clear" w:pos="720"/>
          <w:tab w:val="left" w:pos="1440" w:leader="none"/>
          <w:tab w:val="left" w:pos="2160" w:leader="none"/>
          <w:tab w:val="left" w:pos="2880" w:leader="none"/>
          <w:tab w:val="left" w:pos="3600" w:leader="none"/>
        </w:tabs>
        <w:ind w:start="1440" w:end="0"/>
        <w:rPr/>
      </w:pPr>
      <w:r>
        <w:rPr/>
        <w:t>We are amending the CSC Services Agreement and other related agreements to provide for development of new software relative to back office functions to be performed by CSC.  (Lawyers:  R. Freed, D. Culver;  Client:  T. Mataya;  Outside Counsel:  Neal Nichols of Vinson &amp; Elkins)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Hawaii 2 Monetization.</w:t>
      </w:r>
    </w:p>
    <w:p>
      <w:pPr>
        <w:pStyle w:val="Normal"/>
        <w:tabs>
          <w:tab w:val="left" w:pos="720" w:leader="none"/>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are assisting with the closing of an extension of a previous monetization of TNPC warrants. (Lawyer:  D. Roland;  Client:  J. Williams;  Outside Counsel:  Andrews &amp; Kurth)</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LLC Agreement.</w:t>
      </w:r>
    </w:p>
    <w:p>
      <w:pPr>
        <w:pStyle w:val="Normal"/>
        <w:tabs>
          <w:tab w:val="left" w:pos="720" w:leader="none"/>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are drafting a newly restated LLC Agreement for EES, LLC.  (Lawyer:  D. Roland;  Outside Counsel:  S. Wulfe of Vinson &amp; Elkins)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New Power.</w:t>
      </w:r>
    </w:p>
    <w:p>
      <w:pPr>
        <w:pStyle w:val="Normal"/>
        <w:tabs>
          <w:tab w:val="left" w:pos="720" w:leader="none"/>
        </w:tabs>
        <w:ind w:start="1440" w:end="0"/>
        <w:jc w:val="both"/>
        <w:rPr>
          <w:rFonts w:ascii="Arial" w:hAnsi="Arial" w:cs="Arial"/>
          <w:b/>
          <w:sz w:val="22"/>
        </w:rPr>
      </w:pPr>
      <w:r>
        <w:rPr>
          <w:rFonts w:cs="Arial" w:ascii="Arial" w:hAnsi="Arial"/>
        </w:rPr>
        <w:t>We are involved in a number of ongoing matters relating to New Power.  (Lawyer:  V. Sharp)</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Raptor Monetization.</w:t>
      </w:r>
    </w:p>
    <w:p>
      <w:pPr>
        <w:pStyle w:val="Normal"/>
        <w:tabs>
          <w:tab w:val="left" w:pos="720" w:leader="none"/>
        </w:tabs>
        <w:ind w:start="1440" w:end="0"/>
        <w:jc w:val="both"/>
        <w:rPr>
          <w:rFonts w:ascii="Arial" w:hAnsi="Arial" w:cs="Arial"/>
        </w:rPr>
      </w:pPr>
      <w:r>
        <w:rPr>
          <w:rFonts w:cs="Arial" w:ascii="Arial" w:hAnsi="Arial"/>
        </w:rPr>
        <w:t>We are assisting with the development and implementation of a new monetization structure for the remaining TNPC warrants held by EES.  The new structure closed on September 27, 2000, and we continue to assist with completing and obtaining closing documents.  (Lawyer:  D. Roland;  Client:  J. Williams;  Outside Counsel:  Vinson &amp; Elkins)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Tahiti Monetization.</w:t>
      </w:r>
    </w:p>
    <w:p>
      <w:pPr>
        <w:pStyle w:val="Normal"/>
        <w:tabs>
          <w:tab w:val="left" w:pos="720" w:leader="none"/>
        </w:tabs>
        <w:ind w:start="1440" w:end="0"/>
        <w:jc w:val="both"/>
        <w:rPr>
          <w:rFonts w:ascii="Arial" w:hAnsi="Arial" w:cs="Arial"/>
        </w:rPr>
      </w:pPr>
      <w:r>
        <w:rPr>
          <w:rFonts w:cs="Arial" w:ascii="Arial" w:hAnsi="Arial"/>
        </w:rPr>
        <w:t>We are assisting with the closing of a monetization of a promissory note held by the Raptor Trust.  (Lawyer:  D. Roland;  Client:  J. Williams;  Outside Counsel:  Andrews &amp; Kurth)</w:t>
      </w:r>
      <w:bookmarkStart w:id="6" w:name="__RefHeading___Toc498330294"/>
    </w:p>
    <w:p>
      <w:pPr>
        <w:pStyle w:val="Heading1"/>
        <w:keepNext w:val="false"/>
        <w:tabs>
          <w:tab w:val="clear" w:pos="720"/>
          <w:tab w:val="left" w:pos="1440" w:leader="none"/>
          <w:tab w:val="left" w:pos="2160" w:leader="none"/>
          <w:tab w:val="left" w:pos="2880" w:leader="none"/>
          <w:tab w:val="left" w:pos="3600" w:leader="none"/>
        </w:tabs>
        <w:ind w:hanging="0" w:start="0"/>
        <w:rPr/>
      </w:pPr>
      <w:r>
        <w:rPr/>
        <w:t>Europe.</w:t>
      </w:r>
      <w:bookmarkEnd w:id="6"/>
    </w:p>
    <w:p>
      <w:pPr>
        <w:pStyle w:val="Normal"/>
        <w:numPr>
          <w:ilvl w:val="0"/>
          <w:numId w:val="20"/>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OUTSOURCING.</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Sainsburys.</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a proposed transaction to supply commodities and energy outsource for all office buildings and supermarkets in the UK.  (Lawyer:  S. Gregory;  Clients:  Stuart Rexrode, Paul Turner;  Outside Counsel:  Jeremy Gewirtz, John Pickett of Linklaters &amp; Alliance)</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Trillium/Prime.</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This is a proposed subcontract for energy efficiency services under existing PFI contract between Trillium and the Department of Social Services.  Potential outsourcing of Enron’s properties to Trillium.  (Lawyer:  S. Gregory;  Clients:  R. Bertasi, Charles Conner)</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Carrier Hotel Outsource Transactions.</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We are working on termsheets for Digiplex, MetroNexus, InterXion, and MNB Konnect, all proposed outsource transactions on a Pan-European basis.  (Lawyer:  R. Saxena;  Clients:  Hans-Mart Groen, Paul Turner)</w:t>
      </w:r>
    </w:p>
    <w:p>
      <w:pPr>
        <w:pStyle w:val="Normal"/>
        <w:numPr>
          <w:ilvl w:val="0"/>
          <w:numId w:val="9"/>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Vasakronan.</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t>This is a proposed URS transaction in respect of t&amp;d and district heating for certain properties in Gothenburg.  (Lawyers:  S. Gregory, M. Rosell;  Clients:  Magnus Groth, Per Anderson;  Outside Counsel:  Fredrick Wilkins of Vinge, Sweden)</w:t>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r>
    </w:p>
    <w:p>
      <w:pPr>
        <w:pStyle w:val="BodyTextIndent"/>
        <w:tabs>
          <w:tab w:val="clear" w:pos="2160"/>
          <w:tab w:val="left" w:pos="720" w:leader="none"/>
          <w:tab w:val="left" w:pos="1440" w:leader="none"/>
          <w:tab w:val="left" w:pos="2880" w:leader="none"/>
          <w:tab w:val="left" w:pos="3600" w:leader="none"/>
        </w:tabs>
        <w:spacing w:before="0" w:after="0"/>
        <w:ind w:hanging="0" w:start="1440" w:end="0"/>
        <w:jc w:val="both"/>
        <w:rPr/>
      </w:pPr>
      <w:r>
        <w:rPr/>
      </w:r>
    </w:p>
    <w:p>
      <w:pPr>
        <w:pStyle w:val="Normal"/>
        <w:numPr>
          <w:ilvl w:val="0"/>
          <w:numId w:val="20"/>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ESTABLISHMENT OF COMMODITY BUSINESS.</w:t>
      </w:r>
    </w:p>
    <w:p>
      <w:pPr>
        <w:pStyle w:val="Normal"/>
        <w:numPr>
          <w:ilvl w:val="0"/>
          <w:numId w:val="8"/>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Enron Direkt.</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the establishment of a middle market electricity sales business in Germany.  (Lawyers:  S. Gregory, M. Schuh;  Clients:  Rob Salteil, Elena Kapralova)</w:t>
      </w:r>
    </w:p>
    <w:p>
      <w:pPr>
        <w:pStyle w:val="Normal"/>
        <w:numPr>
          <w:ilvl w:val="0"/>
          <w:numId w:val="8"/>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Enron Direct.</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the establishment of a middle market electricity sales business in Holland.  (Lawyer:  S. Gregory;  Clients:  Rob Saltiel, Elena Kapralova, Hans-Mart Groen;  Outside Counsel:  J. de Keizjer of DeBrauw, Blackstone – Netherlands)</w:t>
      </w:r>
    </w:p>
    <w:p>
      <w:pPr>
        <w:pStyle w:val="Normal"/>
        <w:numPr>
          <w:ilvl w:val="0"/>
          <w:numId w:val="20"/>
        </w:numPr>
        <w:tabs>
          <w:tab w:val="left" w:pos="720" w:leader="none"/>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ACQUISITIONS.</w:t>
      </w:r>
    </w:p>
    <w:p>
      <w:pPr>
        <w:pStyle w:val="Normal"/>
        <w:numPr>
          <w:ilvl w:val="0"/>
          <w:numId w:val="13"/>
        </w:numPr>
        <w:tabs>
          <w:tab w:val="left" w:pos="720" w:leader="none"/>
          <w:tab w:val="left" w:pos="2160" w:leader="none"/>
          <w:tab w:val="left" w:pos="3600" w:leader="none"/>
        </w:tabs>
        <w:spacing w:before="120" w:after="0"/>
        <w:ind w:hanging="0" w:start="1440" w:end="0"/>
        <w:jc w:val="both"/>
        <w:rPr>
          <w:rFonts w:ascii="Arial" w:hAnsi="Arial" w:cs="Arial"/>
          <w:b/>
          <w:sz w:val="22"/>
        </w:rPr>
      </w:pPr>
      <w:r>
        <w:rPr>
          <w:rFonts w:cs="Arial" w:ascii="Arial" w:hAnsi="Arial"/>
          <w:b/>
          <w:sz w:val="22"/>
        </w:rPr>
        <w:t>Telgekraft.</w:t>
      </w:r>
    </w:p>
    <w:p>
      <w:pPr>
        <w:pStyle w:val="Normal"/>
        <w:tabs>
          <w:tab w:val="left" w:pos="720" w:leader="none"/>
          <w:tab w:val="left" w:pos="2160" w:leader="none"/>
          <w:tab w:val="left" w:pos="2880" w:leader="none"/>
          <w:tab w:val="left" w:pos="3600" w:leader="none"/>
        </w:tabs>
        <w:ind w:start="1440" w:end="0"/>
        <w:jc w:val="both"/>
        <w:rPr>
          <w:rFonts w:ascii="Arial" w:hAnsi="Arial" w:cs="Arial"/>
        </w:rPr>
      </w:pPr>
      <w:r>
        <w:rPr>
          <w:rFonts w:cs="Arial" w:ascii="Arial" w:hAnsi="Arial"/>
        </w:rPr>
        <w:t>This is a potential acquisition of a majority stake in a Swedish energy company.  (Lawyers:  S. Gregory, M. Rosell;  Clients:  R. Bertasi, Magnus Groth)</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7" w:name="__RefHeading___Toc498330295"/>
      <w:bookmarkEnd w:id="7"/>
      <w:r>
        <w:rPr/>
        <w:t>EFS Activities.</w:t>
      </w:r>
    </w:p>
    <w:p>
      <w:pPr>
        <w:pStyle w:val="Normal"/>
        <w:numPr>
          <w:ilvl w:val="0"/>
          <w:numId w:val="4"/>
        </w:numPr>
        <w:tabs>
          <w:tab w:val="clear" w:pos="720"/>
          <w:tab w:val="left" w:pos="1440" w:leader="none"/>
        </w:tabs>
        <w:spacing w:before="120" w:after="0"/>
        <w:ind w:hanging="720" w:start="1440" w:end="0"/>
        <w:rPr>
          <w:rFonts w:ascii="Arial" w:hAnsi="Arial" w:cs="Arial"/>
          <w:b/>
          <w:sz w:val="22"/>
        </w:rPr>
      </w:pPr>
      <w:r>
        <w:rPr>
          <w:rFonts w:cs="Arial" w:ascii="Arial" w:hAnsi="Arial"/>
          <w:b/>
          <w:sz w:val="22"/>
        </w:rPr>
        <w:t>Acquisitions.</w:t>
      </w:r>
    </w:p>
    <w:p>
      <w:pPr>
        <w:pStyle w:val="Normal"/>
        <w:numPr>
          <w:ilvl w:val="0"/>
          <w:numId w:val="4"/>
        </w:numPr>
        <w:tabs>
          <w:tab w:val="clear" w:pos="720"/>
          <w:tab w:val="left" w:pos="1440" w:leader="none"/>
        </w:tabs>
        <w:spacing w:before="120" w:after="0"/>
        <w:ind w:hanging="720" w:start="1440" w:end="0"/>
        <w:rPr>
          <w:rFonts w:ascii="Arial" w:hAnsi="Arial" w:cs="Arial"/>
          <w:b/>
          <w:sz w:val="22"/>
        </w:rPr>
      </w:pPr>
      <w:r>
        <w:rPr>
          <w:rFonts w:cs="Arial" w:ascii="Arial" w:hAnsi="Arial"/>
          <w:b/>
          <w:sz w:val="22"/>
        </w:rPr>
        <w:t>Litigation.</w:t>
      </w:r>
    </w:p>
    <w:p>
      <w:pPr>
        <w:pStyle w:val="Normal"/>
        <w:numPr>
          <w:ilvl w:val="0"/>
          <w:numId w:val="5"/>
        </w:numPr>
        <w:tabs>
          <w:tab w:val="clear" w:pos="720"/>
          <w:tab w:val="left" w:pos="2160" w:leader="none"/>
        </w:tabs>
        <w:spacing w:before="120" w:after="0"/>
        <w:ind w:hanging="756" w:start="2160" w:end="0"/>
        <w:jc w:val="both"/>
        <w:rPr>
          <w:rFonts w:ascii="Arial" w:hAnsi="Arial" w:cs="Arial"/>
          <w:b/>
        </w:rPr>
      </w:pPr>
      <w:r>
        <w:rPr>
          <w:rFonts w:cs="Arial" w:ascii="Arial" w:hAnsi="Arial"/>
          <w:b/>
        </w:rPr>
        <w:t>ABS v. Federal Express.</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are pursuing a claim against Federal Express for recovery of amounts due for facility management services provided by ABS under a contract that was terminated by Federal Express.  Suit was filed on 1/11/00 in the U.S. District Court in Houston.  Case transferred to U.S. District Court in Memphis, TN upon motion of FedEx.  Discovery commenced. (Lawyers:  J. Hrabik, M. Keyser;  Client:  J. Pattillo;  Outside Counsel:  Wyatt, Tarrant &amp; Combs of Memphis, TN)</w:t>
      </w:r>
    </w:p>
    <w:p>
      <w:pPr>
        <w:pStyle w:val="Normal"/>
        <w:numPr>
          <w:ilvl w:val="0"/>
          <w:numId w:val="3"/>
        </w:numPr>
        <w:tabs>
          <w:tab w:val="clear" w:pos="720"/>
          <w:tab w:val="left" w:pos="2160" w:leader="none"/>
          <w:tab w:val="left" w:pos="2880" w:leader="none"/>
          <w:tab w:val="left" w:pos="3600" w:leader="none"/>
        </w:tabs>
        <w:spacing w:before="120" w:after="0"/>
        <w:ind w:hanging="720" w:start="2160" w:end="0"/>
        <w:jc w:val="both"/>
        <w:rPr>
          <w:rFonts w:ascii="Arial" w:hAnsi="Arial" w:cs="Arial"/>
          <w:b/>
        </w:rPr>
      </w:pPr>
      <w:r>
        <w:rPr>
          <w:rFonts w:cs="Arial" w:ascii="Arial" w:hAnsi="Arial"/>
          <w:b/>
        </w:rPr>
        <w:t>Limbach Company JV v. Veterans Administration.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have settled numerous subcontractor claims in cooperation with Clark Construction and are pursuing a consolidated claim against the Veterans Administration arising out of the construction of a VA Medical Center in Palo Alto, CA.  We are also pursuing an insurance claim for property damages sustained by the JV on the project.  (Lawyer:  M. Shaffer, M. Keyser;  Client:  S Wurzel;  Outside Counsel:  LeBoeuf, Lamb)</w:t>
      </w:r>
    </w:p>
    <w:p>
      <w:pPr>
        <w:pStyle w:val="Normal"/>
        <w:numPr>
          <w:ilvl w:val="0"/>
          <w:numId w:val="3"/>
        </w:numPr>
        <w:tabs>
          <w:tab w:val="clear" w:pos="720"/>
          <w:tab w:val="left" w:pos="2160" w:leader="none"/>
          <w:tab w:val="left" w:pos="2880" w:leader="none"/>
          <w:tab w:val="left" w:pos="3600" w:leader="none"/>
        </w:tabs>
        <w:spacing w:before="120" w:after="0"/>
        <w:ind w:hanging="720" w:start="2160" w:end="0"/>
        <w:jc w:val="both"/>
        <w:rPr>
          <w:rFonts w:ascii="Arial" w:hAnsi="Arial" w:cs="Arial"/>
          <w:b/>
        </w:rPr>
      </w:pPr>
      <w:r>
        <w:rPr>
          <w:rFonts w:cs="Arial" w:ascii="Arial" w:hAnsi="Arial"/>
          <w:b/>
        </w:rPr>
        <w:t>Tiscor v. The Linc Corporation.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are defending against a breach of contract/misappropriation of trade secrets suit in San Diego, CA.  The suit was filed June 5, 2000, and served June 9, 2000.  Case was removed to the Federal Court and counterclaim was filed on behalf of LINC.  Discovery is proceeding.  A second case evaluation conference is scheduled for December 15, 2000.  (Lawyers:  M. Keyser, L. Gleason;  Client:  B. Petzold;  Outside Counsel:  Abby Silverman of Baker &amp; McKenzie)</w:t>
      </w:r>
    </w:p>
    <w:p>
      <w:pPr>
        <w:pStyle w:val="Normal"/>
        <w:numPr>
          <w:ilvl w:val="0"/>
          <w:numId w:val="3"/>
        </w:numPr>
        <w:tabs>
          <w:tab w:val="clear" w:pos="720"/>
          <w:tab w:val="left" w:pos="2160" w:leader="none"/>
          <w:tab w:val="left" w:pos="2880" w:leader="none"/>
          <w:tab w:val="left" w:pos="3600" w:leader="none"/>
        </w:tabs>
        <w:spacing w:before="120" w:after="0"/>
        <w:ind w:hanging="360" w:start="1800" w:end="0"/>
        <w:jc w:val="both"/>
        <w:rPr>
          <w:rFonts w:ascii="Arial" w:hAnsi="Arial" w:cs="Arial"/>
          <w:b/>
        </w:rPr>
      </w:pPr>
      <w:r>
        <w:rPr>
          <w:rFonts w:cs="Arial" w:ascii="Arial" w:hAnsi="Arial"/>
          <w:b/>
        </w:rPr>
        <w:t>Limbach Company v. Anheuser Busch.</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We are pursuing a claim against Anheuser Busch for recovery of balances due under two (2) construction contracts plus disputed change orders.  Suit was filed on 10/3/00 in the U.S. District Court for the Southern District of Ohio.  Discovery is proceeding.  (Lawyers:  L. Gleason, M. Keyser;  Client:  C. Boyd;  Outside Counsel:  Thompson, Hine &amp; Flory)</w:t>
      </w:r>
    </w:p>
    <w:p>
      <w:pPr>
        <w:pStyle w:val="Normal"/>
        <w:numPr>
          <w:ilvl w:val="0"/>
          <w:numId w:val="3"/>
        </w:numPr>
        <w:tabs>
          <w:tab w:val="clear" w:pos="720"/>
          <w:tab w:val="left" w:pos="2160" w:leader="none"/>
          <w:tab w:val="left" w:pos="2880" w:leader="none"/>
          <w:tab w:val="left" w:pos="3600" w:leader="none"/>
        </w:tabs>
        <w:spacing w:before="120" w:after="0"/>
        <w:ind w:hanging="360" w:start="1800" w:end="0"/>
        <w:jc w:val="both"/>
        <w:rPr>
          <w:rFonts w:ascii="Arial" w:hAnsi="Arial" w:cs="Arial"/>
          <w:b/>
        </w:rPr>
      </w:pPr>
      <w:r>
        <w:rPr>
          <w:rFonts w:cs="Arial" w:ascii="Arial" w:hAnsi="Arial"/>
          <w:b/>
        </w:rPr>
        <w:t>Other Litigation.</w:t>
      </w:r>
    </w:p>
    <w:p>
      <w:pPr>
        <w:pStyle w:val="Normal"/>
        <w:tabs>
          <w:tab w:val="clear" w:pos="720"/>
          <w:tab w:val="left" w:pos="2160" w:leader="none"/>
          <w:tab w:val="left" w:pos="2880" w:leader="none"/>
          <w:tab w:val="left" w:pos="3600" w:leader="none"/>
        </w:tabs>
        <w:ind w:start="2160" w:end="0"/>
        <w:jc w:val="both"/>
        <w:rPr>
          <w:rFonts w:ascii="Arial" w:hAnsi="Arial" w:cs="Arial"/>
        </w:rPr>
      </w:pPr>
      <w:r>
        <w:rPr>
          <w:rFonts w:cs="Arial" w:ascii="Arial" w:hAnsi="Arial"/>
        </w:rPr>
        <w:t>Information about EFS’ other litigation is available in Quarterly Legal Status Report.</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8" w:name="__RefHeading___Toc498330296"/>
      <w:bookmarkEnd w:id="8"/>
      <w:r>
        <w:rPr/>
        <w:t>LITIGATION.</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California PUC Subpoena.</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We have received a subpoena (along with EPMI &amp; Portland General Electric) from the California Public Utilities Commission seeking information regarding wholesale price spikes in the California market during the summer of 2000.  The Subpoena is part of a widespread investigation by the California PUC regarding the operation of the wholesale and retail electric markets in California, and at least 120 other wholesale marketers and generators have received identical subpoenas.  We have timely responded (along with the other Enron entities) with certain non-proprietary information, and EES has provided certain other retail transaction data in a subsequent response.  EES has received no further requests for information from the California PUC.  We will continue to monitor the situation through EPMI, PGE and Enron Corp. Regulatory Affairs.  (Lawyers:  V. Sharp, M. Smith:  Client:  EES;  Outside Counsel:  G. Fergus of Brobeck, Phleger &amp; Harrison;  M. Day of Gooden, MacBride, Squeri, Ritchie &amp; Day)</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Deena Hayes v. Enron Energy Services.</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is a former EES employee claiming alleged gender discrimination and retaliatory practices.  The parties are engaged in discovery.  (Lawyer:  B. Vote (Corporate), M. Smith;  Clients:  EES)</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Kimberly King v. Enron Energy Services, et al.</w:t>
      </w:r>
    </w:p>
    <w:p>
      <w:pPr>
        <w:pStyle w:val="Normal"/>
        <w:tabs>
          <w:tab w:val="clear" w:pos="720"/>
          <w:tab w:val="left" w:pos="1440" w:leader="none"/>
          <w:tab w:val="left" w:pos="2160" w:leader="none"/>
          <w:tab w:val="left" w:pos="2880" w:leader="none"/>
          <w:tab w:val="left" w:pos="3600" w:leader="none"/>
        </w:tabs>
        <w:ind w:start="1440" w:end="0"/>
        <w:jc w:val="both"/>
        <w:rPr>
          <w:rFonts w:ascii="Arial" w:hAnsi="Arial" w:cs="Arial"/>
        </w:rPr>
      </w:pPr>
      <w:r>
        <w:rPr>
          <w:rFonts w:cs="Arial" w:ascii="Arial" w:hAnsi="Arial"/>
        </w:rPr>
        <w:t>Plaintiff has appealed award of summary judgement.  (Lawyer:  Bob Vote (Corp.), M. Smith;  Client:  EES;  Outside Counsel:  D. Keller of Bricker &amp; Eckler)</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Linton v. OmniComp, et al.</w:t>
      </w:r>
    </w:p>
    <w:p>
      <w:pPr>
        <w:pStyle w:val="BodyText"/>
        <w:tabs>
          <w:tab w:val="clear" w:pos="720"/>
          <w:tab w:val="left" w:pos="1440" w:leader="none"/>
          <w:tab w:val="left" w:pos="2160" w:leader="none"/>
          <w:tab w:val="left" w:pos="2880" w:leader="none"/>
          <w:tab w:val="left" w:pos="3600" w:leader="none"/>
        </w:tabs>
        <w:ind w:start="1440" w:end="0"/>
        <w:rPr/>
      </w:pPr>
      <w:r>
        <w:rPr/>
        <w:t>Lawsuit brought by former 1/3 owner of OmniComp seeks compensation based on Enron’s acquisition of OmniComp.  Trial date has been continued until March of 2001.  We have filed a motion for summary judgment, and are continuing to explore settlement opportunities.  (Lawyer:  M. Smith;  Outside Counsel:  Tom Allen of Reed, Smith, Shaw &amp; McClay)</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Mark Hurd v. Turner Enterprises.</w:t>
      </w:r>
    </w:p>
    <w:p>
      <w:pPr>
        <w:pStyle w:val="BodyText"/>
        <w:tabs>
          <w:tab w:val="clear" w:pos="720"/>
          <w:tab w:val="left" w:pos="1440" w:leader="none"/>
          <w:tab w:val="left" w:pos="2160" w:leader="none"/>
          <w:tab w:val="left" w:pos="2880" w:leader="none"/>
          <w:tab w:val="left" w:pos="3600" w:leader="none"/>
        </w:tabs>
        <w:ind w:start="1440" w:end="0"/>
        <w:rPr/>
      </w:pPr>
      <w:r>
        <w:rPr/>
        <w:t>We have been brought into this personal injury action as a cross-defendant arising  out of personal injuries suffered by a former Bentley employee at a company function in 1998. Plaintiff’s medicals are approximately $30M, so total claim at trial will likely be less than $200M.  (Lawyer:  A. Wu, B. Vote;  Client:  D. Huth;  Outside Counsel:  Pamela Robberson of Andrews &amp; Kurth (LA)</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Owens Corning Bankruptcy.</w:t>
      </w:r>
    </w:p>
    <w:p>
      <w:pPr>
        <w:pStyle w:val="BodyText"/>
        <w:tabs>
          <w:tab w:val="clear" w:pos="720"/>
          <w:tab w:val="left" w:pos="1440" w:leader="none"/>
          <w:tab w:val="left" w:pos="2160" w:leader="none"/>
          <w:tab w:val="left" w:pos="2880" w:leader="none"/>
          <w:tab w:val="left" w:pos="3600" w:leader="none"/>
        </w:tabs>
        <w:ind w:start="1440" w:end="0"/>
        <w:rPr/>
      </w:pPr>
      <w:r>
        <w:rPr/>
        <w:t>Owens Corning and EES are parties to a number of agreements pursuant to which EES provides commodity management, project financing and other services to Owens Corning.  On October 5, 2000, Owens Corning filed a petition for reorganization under Chapter 11 of the U.S. Bankruptcy Code.  Owens Corning has listed EES as one of its largest unsecured creditors.  EES is working aggressively to obtain payment of prepetition amounts owed to EES and assumption by Owens Corning of all agreements of EES and Owens Corning.  (Lawyer:  B. Rapp;  Client:  D. Leff;  Outside Counsel:  D. Stewart, B. Wallander of Vinson &amp; Elkins)</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Perry Gas Bankruptcy.</w:t>
      </w:r>
    </w:p>
    <w:p>
      <w:pPr>
        <w:pStyle w:val="BodyText"/>
        <w:tabs>
          <w:tab w:val="clear" w:pos="720"/>
          <w:tab w:val="left" w:pos="1440" w:leader="none"/>
          <w:tab w:val="left" w:pos="2160" w:leader="none"/>
          <w:tab w:val="left" w:pos="2880" w:leader="none"/>
          <w:tab w:val="left" w:pos="3600" w:leader="none"/>
        </w:tabs>
        <w:ind w:start="1440" w:end="0"/>
        <w:rPr/>
      </w:pPr>
      <w:r>
        <w:rPr/>
        <w:t>We continue to work post petition with Perry Gas and have reached an agreement allowing monthly set-offs of post petition amounts owed by EES for purchases against post petition sales owed to EES.  Pre-petition debt is close to $6 million.  (Lawyer:  J. Keller;  Client:  K. Hughes;  Outside Counsel:  Melanie Gray of Weil Gothshal)</w:t>
      </w:r>
    </w:p>
    <w:p>
      <w:pPr>
        <w:pStyle w:val="Normal"/>
        <w:numPr>
          <w:ilvl w:val="0"/>
          <w:numId w:val="11"/>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Woodmere @ Jacaranda.</w:t>
      </w:r>
    </w:p>
    <w:p>
      <w:pPr>
        <w:pStyle w:val="BodyText"/>
        <w:tabs>
          <w:tab w:val="clear" w:pos="720"/>
          <w:tab w:val="left" w:pos="1440" w:leader="none"/>
          <w:tab w:val="left" w:pos="2160" w:leader="none"/>
          <w:tab w:val="left" w:pos="2880" w:leader="none"/>
          <w:tab w:val="left" w:pos="3600" w:leader="none"/>
        </w:tabs>
        <w:ind w:start="1440" w:end="0"/>
        <w:rPr/>
      </w:pPr>
      <w:r>
        <w:rPr/>
        <w:t>We are pursuing a claim against the developer of a Florida condominium for reimbursement of engineering and other costs ($300,000) incurred in developing a central energy plant.  We have reached a settlement on favorable terms;  Plaintiff has failed to pay agreed to settlement.  We have reduced the settlement to a judgment and are attempting to execute thereon.  (Lawyer:  M. Smith;  Client:  L. Ward, Outside Counsel:  David Corry of Bricklemyer, Smolker and Bolves)</w:t>
      </w:r>
    </w:p>
    <w:p>
      <w:pPr>
        <w:pStyle w:val="Heading1"/>
        <w:keepNext w:val="false"/>
        <w:tabs>
          <w:tab w:val="clear" w:pos="720"/>
          <w:tab w:val="left" w:pos="1440" w:leader="none"/>
          <w:tab w:val="left" w:pos="2160" w:leader="none"/>
          <w:tab w:val="left" w:pos="2880" w:leader="none"/>
          <w:tab w:val="left" w:pos="3600" w:leader="none"/>
        </w:tabs>
        <w:ind w:hanging="0" w:start="0"/>
        <w:rPr/>
      </w:pPr>
      <w:bookmarkStart w:id="9" w:name="__RefHeading___Toc498330297"/>
      <w:bookmarkEnd w:id="9"/>
      <w:r>
        <w:rPr/>
        <w:t>MISCELLANEOUS.</w:t>
      </w:r>
    </w:p>
    <w:p>
      <w:pPr>
        <w:pStyle w:val="Normal"/>
        <w:numPr>
          <w:ilvl w:val="0"/>
          <w:numId w:val="2"/>
        </w:numPr>
        <w:tabs>
          <w:tab w:val="clear" w:pos="720"/>
          <w:tab w:val="left" w:pos="2160" w:leader="none"/>
          <w:tab w:val="left" w:pos="2880" w:leader="none"/>
          <w:tab w:val="left" w:pos="3600" w:leader="none"/>
        </w:tabs>
        <w:spacing w:before="120" w:after="0"/>
        <w:jc w:val="both"/>
        <w:rPr>
          <w:rFonts w:ascii="Arial" w:hAnsi="Arial" w:cs="Arial"/>
          <w:b/>
          <w:sz w:val="22"/>
        </w:rPr>
      </w:pPr>
      <w:r>
        <w:rPr>
          <w:rFonts w:cs="Arial" w:ascii="Arial" w:hAnsi="Arial"/>
          <w:b/>
          <w:sz w:val="22"/>
        </w:rPr>
        <w:t>PG&amp;E – Negative CTC Charge Issue.</w:t>
      </w:r>
    </w:p>
    <w:p>
      <w:pPr>
        <w:pStyle w:val="BodyText"/>
        <w:tabs>
          <w:tab w:val="clear" w:pos="720"/>
          <w:tab w:val="left" w:pos="1440" w:leader="none"/>
          <w:tab w:val="left" w:pos="2160" w:leader="none"/>
          <w:tab w:val="left" w:pos="2880" w:leader="none"/>
          <w:tab w:val="left" w:pos="3600" w:leader="none"/>
        </w:tabs>
        <w:ind w:start="1440" w:end="0"/>
        <w:rPr/>
      </w:pPr>
      <w:r>
        <w:rPr/>
        <w:t>We are attempting to collect approximately $115 million in “negative PX charges” due EES from PG&amp;E in California.  The negative charges arose in the summer of 2000 as a result of the operation of the legislated frozen tariff and high wholesale market prices.  PG&amp;E has refused to pay these amounts to EES (So. Cal. Edison has paid similar amounts to EES), arguing that EES is required to prove that it is passing these negative charges through to its customer.  We are treating these negative charges in a manner consistent with our contracts and the applicable tariffs.  PG&amp;E has petitioned the CPUC requesting a tariff clarification in this regard.  We hope to be able to collect these amounts short of litigation.  (Lawyers:  M. Castano, M. Smith, M. Winn:  Clients:  D. Benevides, W. Curry, K. Hughes;  Outside Counsel:  M. Day of Goodin, MacBride and G. Fergus of Brobeck, Phleger &amp; Harrison)</w:t>
      </w:r>
    </w:p>
    <w:sectPr>
      <w:headerReference w:type="default" r:id="rId6"/>
      <w:footerReference w:type="default" r:id="rId7"/>
      <w:footerReference w:type="first" r:id="rId8"/>
      <w:type w:val="nextPage"/>
      <w:pgSz w:w="12240" w:h="15840"/>
      <w:pgMar w:left="1008" w:right="1008" w:gutter="0" w:header="720" w:top="1440" w:footer="576" w:bottom="1008"/>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6"/>
      </w:rPr>
    </w:pPr>
    <w:r>
      <w:rPr>
        <w:rFonts w:cs="Arial" w:ascii="Arial" w:hAnsi="Arial"/>
        <w:sz w:val="16"/>
      </w:rPr>
      <w:t>j:\legal\lgardner\99\mo-rept\99001.doc</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6"/>
      </w:rPr>
    </w:pPr>
    <w:r>
      <w:rPr>
        <w:rFonts w:cs="Arial" w:ascii="Arial" w:hAnsi="Arial"/>
        <w:sz w:val="16"/>
      </w:rPr>
      <w:tab/>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i</w:t>
    </w:r>
    <w:r>
      <w:rPr>
        <w:rStyle w:val="PageNumber"/>
        <w:sz w:val="16"/>
      </w:rPr>
      <w:fldChar w:fldCharType="end"/>
    </w:r>
  </w:p>
  <w:p>
    <w:pPr>
      <w:pStyle w:val="Footer"/>
      <w:rPr>
        <w:rStyle w:val="PageNumber"/>
        <w:sz w:val="16"/>
      </w:rPr>
    </w:pPr>
    <w:r>
      <w:rPr/>
    </w:r>
  </w:p>
  <w:p>
    <w:pPr>
      <w:pStyle w:val="Footer"/>
      <w:rPr/>
    </w:pPr>
    <w:r>
      <w:rPr>
        <w:rFonts w:cs="Arial" w:ascii="Arial" w:hAnsi="Arial"/>
        <w:sz w:val="16"/>
      </w:rPr>
      <w:t xml:space="preserve">j:\legal\llopez\2000\mo-rept\dec-final.doc </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6"/>
      </w:rPr>
    </w:pP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sz w:val="16"/>
      </w:rPr>
      <w:t>8</w:t>
    </w:r>
    <w:r>
      <w:rPr>
        <w:rStyle w:val="PageNumber"/>
        <w:sz w:val="16"/>
      </w:rPr>
      <w:fldChar w:fldCharType="end"/>
    </w:r>
  </w:p>
  <w:p>
    <w:pPr>
      <w:pStyle w:val="Footer"/>
      <w:rPr>
        <w:sz w:val="16"/>
        <w:lang w:eastAsia="en-US"/>
      </w:rPr>
    </w:pPr>
    <w:r>
      <w:rPr>
        <w:sz w:val="16"/>
        <w:lang w:eastAsia="en-US"/>
      </w:rPr>
      <w:fldChar w:fldCharType="begin"/>
    </w:r>
    <w:r>
      <w:rPr>
        <w:sz w:val="16"/>
        <w:lang w:eastAsia="en-US"/>
      </w:rPr>
      <w:instrText xml:space="preserve"> FILENAME \p </w:instrText>
    </w:r>
    <w:r>
      <w:rPr>
        <w:sz w:val="16"/>
        <w:lang w:eastAsia="en-US"/>
      </w:rPr>
      <w:fldChar w:fldCharType="separate"/>
    </w:r>
    <w:r>
      <w:rPr>
        <w:sz w:val="16"/>
        <w:lang w:eastAsia="en-US"/>
      </w:rPr>
      <w:t>/mnt/main-storage/datasets/enron-docs/doc/Dec_Final.doc</w:t>
    </w:r>
    <w:r>
      <w:rPr>
        <w:sz w:val="16"/>
        <w:lang w:eastAsia="en-US"/>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lvl>
    <w:lvl w:ilvl="1">
      <w:start w:val="0"/>
      <w:numFmt w:val="none"/>
      <w:suff w:val="nothing"/>
      <w:lvlText w:val=""/>
      <w:lvlJc w:val="start"/>
      <w:pPr>
        <w:tabs>
          <w:tab w:val="num" w:pos="0"/>
        </w:tabs>
        <w:ind w:start="0" w:hanging="0"/>
      </w:pPr>
    </w:lvl>
    <w:lvl w:ilvl="2">
      <w:start w:val="0"/>
      <w:numFmt w:val="none"/>
      <w:suff w:val="nothing"/>
      <w:lvlText w:val=""/>
      <w:lvlJc w:val="start"/>
      <w:pPr>
        <w:tabs>
          <w:tab w:val="num" w:pos="0"/>
        </w:tabs>
        <w:ind w:start="0" w:hanging="0"/>
      </w:pPr>
    </w:lvl>
    <w:lvl w:ilvl="3">
      <w:start w:val="0"/>
      <w:numFmt w:val="none"/>
      <w:suff w:val="nothing"/>
      <w:lvlText w:val=""/>
      <w:lvlJc w:val="start"/>
      <w:pPr>
        <w:tabs>
          <w:tab w:val="num" w:pos="0"/>
        </w:tabs>
        <w:ind w:start="0" w:hanging="0"/>
      </w:pPr>
    </w:lvl>
    <w:lvl w:ilvl="4">
      <w:start w:val="0"/>
      <w:numFmt w:val="none"/>
      <w:suff w:val="nothing"/>
      <w:lvlText w:val=""/>
      <w:lvlJc w:val="start"/>
      <w:pPr>
        <w:tabs>
          <w:tab w:val="num" w:pos="0"/>
        </w:tabs>
        <w:ind w:start="0" w:hanging="0"/>
      </w:pPr>
    </w:lvl>
    <w:lvl w:ilvl="5">
      <w:start w:val="0"/>
      <w:numFmt w:val="none"/>
      <w:suff w:val="nothing"/>
      <w:lvlText w:val=""/>
      <w:lvlJc w:val="start"/>
      <w:pPr>
        <w:tabs>
          <w:tab w:val="num" w:pos="0"/>
        </w:tabs>
        <w:ind w:start="0" w:hanging="0"/>
      </w:pPr>
    </w:lvl>
    <w:lvl w:ilvl="6">
      <w:start w:val="0"/>
      <w:numFmt w:val="none"/>
      <w:suff w:val="nothing"/>
      <w:lvlText w:val=""/>
      <w:lvlJc w:val="start"/>
      <w:pPr>
        <w:tabs>
          <w:tab w:val="num" w:pos="0"/>
        </w:tabs>
        <w:ind w:start="0" w:hanging="0"/>
      </w:pPr>
    </w:lvl>
    <w:lvl w:ilvl="7">
      <w:start w:val="0"/>
      <w:numFmt w:val="none"/>
      <w:suff w:val="nothing"/>
      <w:lvlText w:val=""/>
      <w:lvlJc w:val="start"/>
      <w:pPr>
        <w:tabs>
          <w:tab w:val="num" w:pos="0"/>
        </w:tabs>
        <w:ind w:start="0" w:hanging="0"/>
      </w:pPr>
    </w:lvl>
    <w:lvl w:ilvl="8">
      <w:start w:val="0"/>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1440"/>
        </w:tabs>
        <w:ind w:start="1440" w:hanging="720"/>
      </w:pPr>
    </w:lvl>
  </w:abstractNum>
  <w:abstractNum w:abstractNumId="3">
    <w:lvl w:ilvl="0">
      <w:start w:val="1"/>
      <w:numFmt w:val="decimal"/>
      <w:lvlText w:val="%1."/>
      <w:lvlJc w:val="start"/>
      <w:pPr>
        <w:tabs>
          <w:tab w:val="num" w:pos="360"/>
        </w:tabs>
        <w:ind w:start="360" w:hanging="360"/>
      </w:pPr>
    </w:lvl>
  </w:abstractNum>
  <w:abstractNum w:abstractNumId="4">
    <w:lvl w:ilvl="0">
      <w:start w:val="1"/>
      <w:numFmt w:val="upperLetter"/>
      <w:lvlText w:val="%1."/>
      <w:lvlJc w:val="start"/>
      <w:pPr>
        <w:tabs>
          <w:tab w:val="num" w:pos="720"/>
        </w:tabs>
        <w:ind w:start="720" w:hanging="720"/>
      </w:pPr>
      <w:rPr/>
    </w:lvl>
  </w:abstractNum>
  <w:abstractNum w:abstractNumId="5">
    <w:lvl w:ilvl="0">
      <w:start w:val="1"/>
      <w:numFmt w:val="decimal"/>
      <w:lvlText w:val="%1."/>
      <w:lvlJc w:val="start"/>
      <w:pPr>
        <w:tabs>
          <w:tab w:val="num" w:pos="720"/>
        </w:tabs>
        <w:ind w:start="720" w:hanging="576"/>
      </w:pPr>
    </w:lvl>
  </w:abstractNum>
  <w:abstractNum w:abstractNumId="6">
    <w:lvl w:ilvl="0">
      <w:start w:val="1"/>
      <w:numFmt w:val="upperLetter"/>
      <w:lvlText w:val="%1."/>
      <w:lvlJc w:val="start"/>
      <w:pPr>
        <w:tabs>
          <w:tab w:val="num" w:pos="1440"/>
        </w:tabs>
        <w:ind w:start="1440" w:hanging="720"/>
      </w:pPr>
    </w:lvl>
  </w:abstractNum>
  <w:abstractNum w:abstractNumId="7">
    <w:lvl w:ilvl="0">
      <w:start w:val="1"/>
      <w:numFmt w:val="upperLetter"/>
      <w:lvlText w:val="%1."/>
      <w:lvlJc w:val="start"/>
      <w:pPr>
        <w:tabs>
          <w:tab w:val="num" w:pos="720"/>
        </w:tabs>
        <w:ind w:start="1440" w:hanging="720"/>
      </w:pPr>
    </w:lvl>
  </w:abstractNum>
  <w:abstractNum w:abstractNumId="8">
    <w:lvl w:ilvl="0">
      <w:start w:val="1"/>
      <w:numFmt w:val="decimal"/>
      <w:lvlText w:val="%1."/>
      <w:lvlJc w:val="start"/>
      <w:pPr>
        <w:tabs>
          <w:tab w:val="num" w:pos="720"/>
        </w:tabs>
        <w:ind w:start="1440" w:hanging="720"/>
      </w:pPr>
    </w:lvl>
  </w:abstractNum>
  <w:abstractNum w:abstractNumId="9">
    <w:lvl w:ilvl="0">
      <w:start w:val="1"/>
      <w:numFmt w:val="decimal"/>
      <w:lvlText w:val="%1."/>
      <w:lvlJc w:val="start"/>
      <w:pPr>
        <w:tabs>
          <w:tab w:val="num" w:pos="720"/>
        </w:tabs>
        <w:ind w:start="1440" w:hanging="720"/>
      </w:p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upperLetter"/>
      <w:lvlText w:val="%1."/>
      <w:lvlJc w:val="start"/>
      <w:pPr>
        <w:tabs>
          <w:tab w:val="num" w:pos="1440"/>
        </w:tabs>
        <w:ind w:start="1440" w:hanging="720"/>
      </w:pPr>
    </w:lvl>
  </w:abstractNum>
  <w:abstractNum w:abstractNumId="12">
    <w:lvl w:ilvl="0">
      <w:start w:val="1"/>
      <w:numFmt w:val="decimal"/>
      <w:lvlText w:val="%1."/>
      <w:lvlJc w:val="start"/>
      <w:pPr>
        <w:tabs>
          <w:tab w:val="num" w:pos="360"/>
        </w:tabs>
        <w:ind w:start="360" w:hanging="360"/>
      </w:pPr>
    </w:lvl>
  </w:abstractNum>
  <w:abstractNum w:abstractNumId="13">
    <w:lvl w:ilvl="0">
      <w:start w:val="1"/>
      <w:numFmt w:val="decimal"/>
      <w:lvlText w:val="%1."/>
      <w:lvlJc w:val="start"/>
      <w:pPr>
        <w:tabs>
          <w:tab w:val="num" w:pos="720"/>
        </w:tabs>
        <w:ind w:start="1440" w:hanging="720"/>
      </w:pPr>
    </w:lvl>
  </w:abstractNum>
  <w:abstractNum w:abstractNumId="14">
    <w:lvl w:ilvl="0">
      <w:start w:val="1"/>
      <w:numFmt w:val="upperLetter"/>
      <w:lvlText w:val="%1."/>
      <w:lvlJc w:val="start"/>
      <w:pPr>
        <w:tabs>
          <w:tab w:val="num" w:pos="1440"/>
        </w:tabs>
        <w:ind w:start="1440" w:hanging="720"/>
      </w:pPr>
      <w:rPr/>
    </w:lvl>
  </w:abstractNum>
  <w:abstractNum w:abstractNumId="15">
    <w:lvl w:ilvl="0">
      <w:start w:val="1"/>
      <w:numFmt w:val="decimal"/>
      <w:lvlText w:val="%1."/>
      <w:lvlJc w:val="start"/>
      <w:pPr>
        <w:tabs>
          <w:tab w:val="num" w:pos="360"/>
        </w:tabs>
        <w:ind w:start="360" w:hanging="360"/>
      </w:pPr>
    </w:lvl>
  </w:abstractNum>
  <w:abstractNum w:abstractNumId="16">
    <w:lvl w:ilvl="0">
      <w:start w:val="1"/>
      <w:numFmt w:val="upperLetter"/>
      <w:lvlText w:val="%1."/>
      <w:lvlJc w:val="start"/>
      <w:pPr>
        <w:tabs>
          <w:tab w:val="num" w:pos="1440"/>
        </w:tabs>
        <w:ind w:start="1440" w:hanging="720"/>
      </w:pPr>
      <w:rPr/>
    </w:lvl>
  </w:abstractNum>
  <w:abstractNum w:abstractNumId="17">
    <w:lvl w:ilvl="0">
      <w:start w:val="1"/>
      <w:numFmt w:val="decimal"/>
      <w:lvlText w:val="%1."/>
      <w:lvlJc w:val="start"/>
      <w:pPr>
        <w:tabs>
          <w:tab w:val="num" w:pos="360"/>
        </w:tabs>
        <w:ind w:start="360" w:hanging="360"/>
      </w:pPr>
    </w:lvl>
  </w:abstractNum>
  <w:abstractNum w:abstractNumId="18">
    <w:lvl w:ilvl="0">
      <w:start w:val="1"/>
      <w:numFmt w:val="decimal"/>
      <w:lvlText w:val="%1."/>
      <w:lvlJc w:val="start"/>
      <w:pPr>
        <w:tabs>
          <w:tab w:val="num" w:pos="3600"/>
        </w:tabs>
        <w:ind w:start="3600" w:hanging="2160"/>
      </w:pPr>
      <w:rPr>
        <w:i w:val="false"/>
        <w:b/>
      </w:rPr>
    </w:lvl>
  </w:abstractNum>
  <w:abstractNum w:abstractNumId="19">
    <w:lvl w:ilvl="0">
      <w:start w:val="1"/>
      <w:numFmt w:val="upperLetter"/>
      <w:lvlText w:val="%1."/>
      <w:lvlJc w:val="start"/>
      <w:pPr>
        <w:tabs>
          <w:tab w:val="num" w:pos="720"/>
        </w:tabs>
        <w:ind w:start="1440" w:hanging="720"/>
      </w:pPr>
    </w:lvl>
  </w:abstractNum>
  <w:abstractNum w:abstractNumId="20">
    <w:lvl w:ilvl="0">
      <w:start w:val="1"/>
      <w:numFmt w:val="upperLetter"/>
      <w:lvlText w:val="%1."/>
      <w:lvlJc w:val="start"/>
      <w:pPr>
        <w:tabs>
          <w:tab w:val="num" w:pos="1440"/>
        </w:tabs>
        <w:ind w:start="1440" w:hanging="720"/>
      </w:pPr>
    </w:lvl>
  </w:abstractNum>
  <w:abstractNum w:abstractNumId="21">
    <w:lvl w:ilvl="0">
      <w:start w:val="1"/>
      <w:numFmt w:val="decimal"/>
      <w:lvlText w:val="%1."/>
      <w:lvlJc w:val="start"/>
      <w:pPr>
        <w:tabs>
          <w:tab w:val="num" w:pos="3600"/>
        </w:tabs>
        <w:ind w:start="3600" w:hanging="2160"/>
      </w:pPr>
      <w:rPr>
        <w:i w:val="false"/>
        <w:b/>
      </w:rPr>
    </w:lvl>
  </w:abstractNum>
  <w:abstractNum w:abstractNumId="22">
    <w:lvl w:ilvl="0">
      <w:start w:val="1"/>
      <w:numFmt w:val="decimal"/>
      <w:lvlText w:val="%1."/>
      <w:lvlJc w:val="start"/>
      <w:pPr>
        <w:tabs>
          <w:tab w:val="num" w:pos="720"/>
        </w:tabs>
        <w:ind w:start="3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bering>
</file>

<file path=word/settings.xml><?xml version="1.0" encoding="utf-8"?>
<w:settings xmlns:w="http://schemas.openxmlformats.org/wordprocessingml/2006/main">
  <w:zoom w:val="bestFit" w:percent="2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before="240" w:after="0"/>
      <w:outlineLvl w:val="0"/>
    </w:pPr>
    <w:rPr>
      <w:rFonts w:ascii="Arial" w:hAnsi="Arial" w:cs="Arial"/>
      <w:b/>
      <w:caps/>
      <w:kern w:val="2"/>
      <w:sz w:val="22"/>
    </w:rPr>
  </w:style>
  <w:style w:type="paragraph" w:styleId="Heading2">
    <w:name w:val="heading 2"/>
    <w:basedOn w:val="Normal"/>
    <w:next w:val="Normal"/>
    <w:qFormat/>
    <w:pPr>
      <w:keepNext w:val="true"/>
      <w:spacing w:before="240" w:after="60"/>
      <w:ind w:hanging="720" w:start="1440" w:end="0"/>
      <w:outlineLvl w:val="1"/>
    </w:pPr>
    <w:rPr>
      <w:rFonts w:ascii="Arial" w:hAnsi="Arial" w:cs="Arial"/>
      <w:b/>
      <w:i/>
      <w:sz w:val="24"/>
    </w:rPr>
  </w:style>
  <w:style w:type="paragraph" w:styleId="Heading3">
    <w:name w:val="heading 3"/>
    <w:basedOn w:val="Normal"/>
    <w:next w:val="Normal"/>
    <w:qFormat/>
    <w:pPr>
      <w:keepNext w:val="true"/>
      <w:spacing w:before="240" w:after="60"/>
      <w:ind w:hanging="720" w:start="2160" w:end="0"/>
      <w:outlineLvl w:val="2"/>
    </w:pPr>
    <w:rPr>
      <w:rFonts w:ascii="Arial" w:hAnsi="Arial" w:cs="Arial"/>
      <w:sz w:val="24"/>
    </w:rPr>
  </w:style>
  <w:style w:type="paragraph" w:styleId="Heading4">
    <w:name w:val="heading 4"/>
    <w:basedOn w:val="Normal"/>
    <w:next w:val="Normal"/>
    <w:qFormat/>
    <w:pPr>
      <w:keepNext w:val="true"/>
      <w:spacing w:before="240" w:after="60"/>
      <w:ind w:hanging="720" w:start="2880" w:end="0"/>
      <w:outlineLvl w:val="3"/>
    </w:pPr>
    <w:rPr>
      <w:rFonts w:ascii="Arial" w:hAnsi="Arial" w:cs="Arial"/>
      <w:b/>
      <w:sz w:val="24"/>
    </w:rPr>
  </w:style>
  <w:style w:type="paragraph" w:styleId="Heading5">
    <w:name w:val="heading 5"/>
    <w:basedOn w:val="Normal"/>
    <w:next w:val="Normal"/>
    <w:qFormat/>
    <w:pPr>
      <w:spacing w:before="240" w:after="60"/>
      <w:ind w:hanging="720" w:start="3600" w:end="0"/>
      <w:outlineLvl w:val="4"/>
    </w:pPr>
    <w:rPr>
      <w:rFonts w:ascii="Arial" w:hAnsi="Arial" w:cs="Arial"/>
      <w:sz w:val="22"/>
    </w:rPr>
  </w:style>
  <w:style w:type="paragraph" w:styleId="Heading6">
    <w:name w:val="heading 6"/>
    <w:basedOn w:val="Normal"/>
    <w:next w:val="Normal"/>
    <w:qFormat/>
    <w:pPr>
      <w:spacing w:before="240" w:after="60"/>
      <w:ind w:hanging="720" w:start="4320" w:end="0"/>
      <w:outlineLvl w:val="5"/>
    </w:pPr>
    <w:rPr>
      <w:i/>
      <w:sz w:val="22"/>
    </w:rPr>
  </w:style>
  <w:style w:type="paragraph" w:styleId="Heading7">
    <w:name w:val="heading 7"/>
    <w:basedOn w:val="Normal"/>
    <w:next w:val="Normal"/>
    <w:qFormat/>
    <w:pPr>
      <w:spacing w:before="240" w:after="60"/>
      <w:ind w:hanging="720" w:start="5040" w:end="0"/>
      <w:outlineLvl w:val="6"/>
    </w:pPr>
    <w:rPr>
      <w:rFonts w:ascii="Arial" w:hAnsi="Arial" w:cs="Arial"/>
    </w:rPr>
  </w:style>
  <w:style w:type="paragraph" w:styleId="Heading8">
    <w:name w:val="heading 8"/>
    <w:basedOn w:val="Normal"/>
    <w:next w:val="Normal"/>
    <w:qFormat/>
    <w:pPr>
      <w:spacing w:before="240" w:after="60"/>
      <w:ind w:hanging="720" w:start="5760" w:end="0"/>
      <w:outlineLvl w:val="7"/>
    </w:pPr>
    <w:rPr>
      <w:rFonts w:ascii="Arial" w:hAnsi="Arial" w:cs="Arial"/>
      <w:i/>
    </w:rPr>
  </w:style>
  <w:style w:type="paragraph" w:styleId="Heading9">
    <w:name w:val="heading 9"/>
    <w:basedOn w:val="Normal"/>
    <w:next w:val="Normal"/>
    <w:qFormat/>
    <w:pPr>
      <w:spacing w:before="240" w:after="60"/>
      <w:ind w:hanging="720" w:start="6480" w:end="0"/>
      <w:outlineLvl w:val="8"/>
    </w:pPr>
    <w:rPr>
      <w:rFonts w:ascii="Arial" w:hAnsi="Arial" w:cs="Arial"/>
      <w:b/>
      <w:i/>
      <w:sz w:val="18"/>
    </w:rPr>
  </w:style>
  <w:style w:type="character" w:styleId="WW8Num2z0">
    <w:name w:val="WW8Num2z0"/>
    <w:qFormat/>
    <w:rPr>
      <w:b/>
    </w:rPr>
  </w:style>
  <w:style w:type="character" w:styleId="WW8Num9z0">
    <w:name w:val="WW8Num9z0"/>
    <w:qFormat/>
    <w:rPr/>
  </w:style>
  <w:style w:type="character" w:styleId="WW8Num11z0">
    <w:name w:val="WW8Num11z0"/>
    <w:qFormat/>
    <w:rPr>
      <w:b/>
      <w:i w:val="false"/>
    </w:rPr>
  </w:style>
  <w:style w:type="character" w:styleId="WW8Num16z0">
    <w:name w:val="WW8Num16z0"/>
    <w:qFormat/>
    <w:rPr>
      <w:b/>
      <w:i w:val="false"/>
    </w:rPr>
  </w:style>
  <w:style w:type="character" w:styleId="WW8Num18z0">
    <w:name w:val="WW8Num18z0"/>
    <w:qFormat/>
    <w:rPr>
      <w:rFonts w:ascii="Symbol" w:hAnsi="Symbol" w:cs="Symbol"/>
    </w:rPr>
  </w:style>
  <w:style w:type="character" w:styleId="WW8Num42z0">
    <w:name w:val="WW8Num42z0"/>
    <w:qFormat/>
    <w:rPr/>
  </w:style>
  <w:style w:type="character" w:styleId="WW8Num43z0">
    <w:name w:val="WW8Num43z0"/>
    <w:qFormat/>
    <w:rPr/>
  </w:style>
  <w:style w:type="character" w:styleId="WW8Num49z0">
    <w:name w:val="WW8Num49z0"/>
    <w:qFormat/>
    <w:rPr/>
  </w:style>
  <w:style w:type="character" w:styleId="WW8Num56z0">
    <w:name w:val="WW8Num56z0"/>
    <w:qFormat/>
    <w:rPr/>
  </w:style>
  <w:style w:type="character" w:styleId="WW8Num57z0">
    <w:name w:val="WW8Num57z0"/>
    <w:qFormat/>
    <w:rPr>
      <w:rFonts w:ascii="Arial" w:hAnsi="Arial" w:cs="Arial"/>
      <w:b/>
      <w:i w:val="false"/>
      <w:sz w:val="20"/>
    </w:rPr>
  </w:style>
  <w:style w:type="character" w:styleId="WW8Num60z0">
    <w:name w:val="WW8Num60z0"/>
    <w:qFormat/>
    <w:rPr>
      <w:b/>
      <w:i w:val="false"/>
    </w:rPr>
  </w:style>
  <w:style w:type="character" w:styleId="WW8Num67z0">
    <w:name w:val="WW8Num67z0"/>
    <w:qFormat/>
    <w:rPr>
      <w:b/>
      <w:i w:val="false"/>
    </w:rPr>
  </w:style>
  <w:style w:type="character" w:styleId="WW8Num71z0">
    <w:name w:val="WW8Num71z0"/>
    <w:qFormat/>
    <w:rPr/>
  </w:style>
  <w:style w:type="character" w:styleId="WW8Num74z0">
    <w:name w:val="WW8Num74z0"/>
    <w:qFormat/>
    <w:rPr>
      <w:b/>
      <w:i w:val="false"/>
    </w:rPr>
  </w:style>
  <w:style w:type="character" w:styleId="WW8Num76z0">
    <w:name w:val="WW8Num76z0"/>
    <w:qFormat/>
    <w:rPr>
      <w:b/>
      <w:i w:val="false"/>
    </w:rPr>
  </w:style>
  <w:style w:type="character" w:styleId="WW8Num82z0">
    <w:name w:val="WW8Num82z0"/>
    <w:qFormat/>
    <w:rPr>
      <w:b/>
      <w:i w:val="false"/>
    </w:rPr>
  </w:style>
  <w:style w:type="character" w:styleId="WW8Num85z0">
    <w:name w:val="WW8Num85z0"/>
    <w:qFormat/>
    <w:rPr/>
  </w:style>
  <w:style w:type="character" w:styleId="WW8Num86z0">
    <w:name w:val="WW8Num86z0"/>
    <w:qFormat/>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rPr>
      <w:color w:val="000080"/>
      <w:u w:val="single"/>
    </w:rPr>
  </w:style>
  <w:style w:type="character" w:styleId="IndexLink">
    <w:name w:val="Index Link"/>
    <w:qFormat/>
    <w:rPr/>
  </w:style>
  <w:style w:type="paragraph" w:styleId="Heading">
    <w:name w:val="Heading"/>
    <w:basedOn w:val="Normal"/>
    <w:next w:val="BodyText"/>
    <w:qFormat/>
    <w:pPr>
      <w:jc w:val="center"/>
    </w:pPr>
    <w:rPr>
      <w:rFonts w:ascii="Arial" w:hAnsi="Arial" w:cs="Arial"/>
      <w:b/>
    </w:rPr>
  </w:style>
  <w:style w:type="paragraph" w:styleId="BodyText">
    <w:name w:val="Body Text"/>
    <w:basedOn w:val="Normal"/>
    <w:pPr>
      <w:jc w:val="both"/>
    </w:pPr>
    <w:rPr>
      <w:rFonts w:ascii="Arial" w:hAnsi="Arial" w:cs="Arial"/>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OC2">
    <w:name w:val="toc 2"/>
    <w:basedOn w:val="Normal"/>
    <w:next w:val="Normal"/>
    <w:pPr>
      <w:tabs>
        <w:tab w:val="clear" w:pos="720"/>
        <w:tab w:val="right" w:pos="9360" w:leader="dot"/>
      </w:tabs>
      <w:spacing w:before="240" w:after="0"/>
    </w:pPr>
    <w:rPr>
      <w:b/>
    </w:rPr>
  </w:style>
  <w:style w:type="paragraph" w:styleId="TOC1">
    <w:name w:val="toc 1"/>
    <w:basedOn w:val="Normal"/>
    <w:next w:val="Normal"/>
    <w:pPr>
      <w:tabs>
        <w:tab w:val="clear" w:pos="720"/>
        <w:tab w:val="right" w:pos="9360" w:leader="dot"/>
      </w:tabs>
      <w:spacing w:before="0" w:after="240"/>
    </w:pPr>
    <w:rPr>
      <w:rFonts w:ascii="Arial" w:hAnsi="Arial" w:cs="Arial"/>
      <w:b/>
      <w:caps/>
      <w:sz w:val="22"/>
    </w:rPr>
  </w:style>
  <w:style w:type="paragraph" w:styleId="TOC3">
    <w:name w:val="toc 3"/>
    <w:basedOn w:val="Normal"/>
    <w:next w:val="Normal"/>
    <w:pPr>
      <w:tabs>
        <w:tab w:val="clear" w:pos="720"/>
        <w:tab w:val="right" w:pos="9360" w:leader="dot"/>
      </w:tabs>
      <w:ind w:hanging="0" w:start="200" w:end="0"/>
    </w:pPr>
    <w:rPr/>
  </w:style>
  <w:style w:type="paragraph" w:styleId="TOC4">
    <w:name w:val="toc 4"/>
    <w:basedOn w:val="Normal"/>
    <w:next w:val="Normal"/>
    <w:pPr>
      <w:tabs>
        <w:tab w:val="clear" w:pos="720"/>
        <w:tab w:val="right" w:pos="9360" w:leader="dot"/>
      </w:tabs>
      <w:ind w:hanging="0" w:start="400" w:end="0"/>
    </w:pPr>
    <w:rPr/>
  </w:style>
  <w:style w:type="paragraph" w:styleId="TOC5">
    <w:name w:val="toc 5"/>
    <w:basedOn w:val="Normal"/>
    <w:next w:val="Normal"/>
    <w:pPr>
      <w:tabs>
        <w:tab w:val="clear" w:pos="720"/>
        <w:tab w:val="right" w:pos="9360" w:leader="dot"/>
      </w:tabs>
      <w:ind w:hanging="0" w:start="600" w:end="0"/>
    </w:pPr>
    <w:rPr/>
  </w:style>
  <w:style w:type="paragraph" w:styleId="TOC6">
    <w:name w:val="toc 6"/>
    <w:basedOn w:val="Normal"/>
    <w:next w:val="Normal"/>
    <w:pPr>
      <w:tabs>
        <w:tab w:val="clear" w:pos="720"/>
        <w:tab w:val="right" w:pos="9360" w:leader="dot"/>
      </w:tabs>
      <w:ind w:hanging="0" w:start="800" w:end="0"/>
    </w:pPr>
    <w:rPr/>
  </w:style>
  <w:style w:type="paragraph" w:styleId="TOC7">
    <w:name w:val="toc 7"/>
    <w:basedOn w:val="Normal"/>
    <w:next w:val="Normal"/>
    <w:pPr>
      <w:tabs>
        <w:tab w:val="clear" w:pos="720"/>
        <w:tab w:val="right" w:pos="9360" w:leader="dot"/>
      </w:tabs>
      <w:ind w:hanging="0" w:start="1000" w:end="0"/>
    </w:pPr>
    <w:rPr/>
  </w:style>
  <w:style w:type="paragraph" w:styleId="TOC8">
    <w:name w:val="toc 8"/>
    <w:basedOn w:val="Normal"/>
    <w:next w:val="Normal"/>
    <w:pPr>
      <w:tabs>
        <w:tab w:val="clear" w:pos="720"/>
        <w:tab w:val="right" w:pos="9360" w:leader="dot"/>
      </w:tabs>
      <w:ind w:hanging="0" w:start="1200" w:end="0"/>
    </w:pPr>
    <w:rPr/>
  </w:style>
  <w:style w:type="paragraph" w:styleId="TOC9">
    <w:name w:val="toc 9"/>
    <w:basedOn w:val="Normal"/>
    <w:next w:val="Normal"/>
    <w:pPr>
      <w:tabs>
        <w:tab w:val="clear" w:pos="720"/>
        <w:tab w:val="right" w:pos="9360" w:leader="dot"/>
      </w:tabs>
      <w:ind w:hanging="0" w:start="1400" w:end="0"/>
    </w:pPr>
    <w:rPr/>
  </w:style>
  <w:style w:type="paragraph" w:styleId="BodyText2">
    <w:name w:val="Body Text 2"/>
    <w:basedOn w:val="Normal"/>
    <w:qFormat/>
    <w:pPr>
      <w:spacing w:before="60" w:after="0"/>
      <w:ind w:hanging="0" w:start="720" w:end="0"/>
      <w:jc w:val="both"/>
    </w:pPr>
    <w:rPr>
      <w:rFonts w:ascii="Arial" w:hAnsi="Arial" w:cs="Arial"/>
    </w:rPr>
  </w:style>
  <w:style w:type="paragraph" w:styleId="BodyTextIndent2">
    <w:name w:val="Body Text Indent 2"/>
    <w:basedOn w:val="Normal"/>
    <w:qFormat/>
    <w:pPr>
      <w:keepNext w:val="true"/>
      <w:spacing w:before="60" w:after="0"/>
      <w:ind w:firstLine="720" w:start="720" w:end="0"/>
    </w:pPr>
    <w:rPr>
      <w:rFonts w:ascii="Arial" w:hAnsi="Arial" w:cs="Arial"/>
    </w:rPr>
  </w:style>
  <w:style w:type="paragraph" w:styleId="BodyTextIndent3">
    <w:name w:val="Body Text Indent 3"/>
    <w:basedOn w:val="Normal"/>
    <w:qFormat/>
    <w:pPr>
      <w:keepNext w:val="true"/>
      <w:keepLines/>
      <w:spacing w:before="120" w:after="0"/>
      <w:ind w:firstLine="720" w:start="0" w:end="0"/>
      <w:jc w:val="both"/>
    </w:pPr>
    <w:rPr>
      <w:rFonts w:ascii="Arial" w:hAnsi="Arial" w:cs="Arial"/>
    </w:rPr>
  </w:style>
  <w:style w:type="paragraph" w:styleId="WW-BodyText2">
    <w:name w:val="WW-Body Text 2"/>
    <w:basedOn w:val="Normal"/>
    <w:qFormat/>
    <w:pPr>
      <w:widowControl w:val="false"/>
      <w:spacing w:before="60" w:after="0"/>
      <w:ind w:hanging="720" w:start="720" w:end="0"/>
      <w:jc w:val="both"/>
    </w:pPr>
    <w:rPr>
      <w:rFonts w:ascii="Arial" w:hAnsi="Arial" w:cs="Arial"/>
    </w:rPr>
  </w:style>
  <w:style w:type="paragraph" w:styleId="WW-BodyText21">
    <w:name w:val="WW-Body Text 21"/>
    <w:basedOn w:val="Normal"/>
    <w:qFormat/>
    <w:pPr>
      <w:spacing w:before="60" w:after="0"/>
      <w:ind w:hanging="0" w:start="720" w:end="0"/>
      <w:jc w:val="both"/>
    </w:pPr>
    <w:rPr>
      <w:rFonts w:ascii="Arial" w:hAnsi="Arial" w:cs="Arial"/>
    </w:rPr>
  </w:style>
  <w:style w:type="paragraph" w:styleId="WW-BodyText22">
    <w:name w:val="WW-Body Text 22"/>
    <w:basedOn w:val="Normal"/>
    <w:qFormat/>
    <w:pPr>
      <w:keepNext w:val="true"/>
      <w:keepLines/>
      <w:spacing w:before="60" w:after="0"/>
      <w:ind w:hanging="720" w:start="1440" w:end="0"/>
      <w:jc w:val="both"/>
    </w:pPr>
    <w:rPr>
      <w:rFonts w:ascii="Arial" w:hAnsi="Arial" w:cs="Arial"/>
    </w:rPr>
  </w:style>
  <w:style w:type="paragraph" w:styleId="WW-BodyText23">
    <w:name w:val="WW-Body Text 23"/>
    <w:basedOn w:val="Normal"/>
    <w:qFormat/>
    <w:pPr>
      <w:tabs>
        <w:tab w:val="left" w:pos="720" w:leader="none"/>
      </w:tabs>
      <w:spacing w:before="60" w:after="0"/>
      <w:ind w:hanging="0" w:start="720" w:end="0"/>
      <w:jc w:val="both"/>
    </w:pPr>
    <w:rPr>
      <w:rFonts w:ascii="Arial" w:hAnsi="Arial" w:cs="Arial"/>
    </w:rPr>
  </w:style>
  <w:style w:type="paragraph" w:styleId="Subtitle">
    <w:name w:val="Subtitle"/>
    <w:basedOn w:val="Normal"/>
    <w:next w:val="BodyText"/>
    <w:qFormat/>
    <w:pPr>
      <w:pBdr>
        <w:top w:val="single" w:sz="6" w:space="1" w:color="000000"/>
        <w:left w:val="single" w:sz="6" w:space="4" w:color="000000"/>
        <w:bottom w:val="single" w:sz="6" w:space="1" w:color="000000"/>
        <w:right w:val="single" w:sz="6" w:space="0" w:color="000000"/>
      </w:pBdr>
      <w:shd w:fill="E5E5E5" w:val="clear"/>
      <w:jc w:val="center"/>
    </w:pPr>
    <w:rPr>
      <w:rFonts w:ascii="Arial" w:hAnsi="Arial" w:cs="Arial"/>
      <w:b/>
    </w:rPr>
  </w:style>
  <w:style w:type="paragraph" w:styleId="body">
    <w:name w:val="body"/>
    <w:basedOn w:val="Normal"/>
    <w:qFormat/>
    <w:pPr/>
    <w:rPr/>
  </w:style>
  <w:style w:type="paragraph" w:styleId="WW-BodyText24">
    <w:name w:val="WW-Body Text 24"/>
    <w:basedOn w:val="Normal"/>
    <w:qFormat/>
    <w:pPr>
      <w:spacing w:before="120" w:after="0"/>
      <w:ind w:hanging="0" w:start="720" w:end="0"/>
      <w:jc w:val="both"/>
    </w:pPr>
    <w:rPr>
      <w:rFonts w:ascii="Arial" w:hAnsi="Arial" w:cs="Arial"/>
    </w:rPr>
  </w:style>
  <w:style w:type="paragraph" w:styleId="BodyText3">
    <w:name w:val="Body Text 3"/>
    <w:basedOn w:val="Normal"/>
    <w:qFormat/>
    <w:pPr>
      <w:spacing w:before="120" w:after="0"/>
      <w:jc w:val="both"/>
    </w:pPr>
    <w:rPr>
      <w:rFonts w:ascii="Arial" w:hAnsi="Arial" w:cs="Arial"/>
      <w:color w:val="000000"/>
      <w:lang w:eastAsia="en-US"/>
    </w:rPr>
  </w:style>
  <w:style w:type="paragraph" w:styleId="BodyTextIndent">
    <w:name w:val="Body Text Indent"/>
    <w:basedOn w:val="Normal"/>
    <w:pPr>
      <w:tabs>
        <w:tab w:val="left" w:pos="720" w:leader="none"/>
        <w:tab w:val="left" w:pos="1440" w:leader="none"/>
        <w:tab w:val="left" w:pos="2160" w:leader="none"/>
        <w:tab w:val="left" w:pos="2880" w:leader="none"/>
        <w:tab w:val="left" w:pos="3600" w:leader="none"/>
      </w:tabs>
      <w:spacing w:before="60" w:after="0"/>
      <w:ind w:hanging="720" w:start="2160" w:end="0"/>
    </w:pPr>
    <w:rPr>
      <w:rFonts w:ascii="Arial" w:hAnsi="Arial" w:cs="Arial"/>
    </w:rPr>
  </w:style>
  <w:style w:type="paragraph" w:styleId="DocumentMap">
    <w:name w:val="Document Map"/>
    <w:basedOn w:val="Normal"/>
    <w:qFormat/>
    <w:pPr>
      <w:shd w:fill="000080" w:val="clear"/>
    </w:pPr>
    <w:rPr>
      <w:rFonts w:ascii="Tahoma" w:hAnsi="Tahoma" w:cs="Tahoma"/>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header" Target="header1.xml"/><Relationship Id="rId7" Type="http://schemas.openxmlformats.org/officeDocument/2006/relationships/footer" Target="footer5.xml"/><Relationship Id="rId8" Type="http://schemas.openxmlformats.org/officeDocument/2006/relationships/footer" Target="footer6.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2000-12-04T18:27:00Z</dcterms:created>
  <dc:creator>Leasa Gardner</dc:creator>
  <dc:description/>
  <dc:language>en-CA</dc:language>
  <cp:lastModifiedBy>llopez</cp:lastModifiedBy>
  <cp:lastPrinted>2000-12-04T15:05:00Z</cp:lastPrinted>
  <dcterms:modified xsi:type="dcterms:W3CDTF">2000-12-04T18:35:00Z</dcterms:modified>
  <cp:revision>5</cp:revision>
  <dc:subject>March 1999</dc:subject>
  <dc:title>EES Monthly Legal Report</dc:title>
</cp:coreProperties>
</file>