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8"/>
        </w:rPr>
      </w:pPr>
      <w:r>
        <w:rPr>
          <w:sz w:val="28"/>
        </w:rPr>
      </w:r>
    </w:p>
    <w:p>
      <w:pPr>
        <w:pStyle w:val="Header"/>
        <w:tabs>
          <w:tab w:val="clear" w:pos="4320"/>
          <w:tab w:val="clear" w:pos="8640"/>
        </w:tabs>
        <w:rPr>
          <w:sz w:val="28"/>
        </w:rPr>
      </w:pPr>
      <w:r>
        <w:rPr>
          <w:sz w:val="28"/>
        </w:rPr>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rPr>
          <w:b/>
          <w:shadow/>
          <w:color w:val="333399"/>
        </w:rPr>
      </w:pPr>
      <w:r>
        <w:rPr>
          <w:b/>
          <w:shadow/>
          <w:color w:val="333399"/>
        </w:rPr>
      </w:r>
    </w:p>
    <w:p>
      <w:pPr>
        <w:pStyle w:val="Header"/>
        <w:tabs>
          <w:tab w:val="clear" w:pos="4320"/>
          <w:tab w:val="clear" w:pos="8640"/>
        </w:tabs>
        <w:rPr>
          <w:b/>
          <w:bCs/>
          <w:shadow/>
          <w:color w:val="333399"/>
        </w:rPr>
      </w:pPr>
      <w:r>
        <w:rPr>
          <w:b/>
          <w:bCs/>
          <w:shadow/>
          <w:color w:val="333399"/>
        </w:rPr>
      </w:r>
    </w:p>
    <w:p>
      <w:pPr>
        <w:pStyle w:val="Header"/>
        <w:numPr>
          <w:ilvl w:val="0"/>
          <w:numId w:val="1"/>
        </w:numPr>
        <w:tabs>
          <w:tab w:val="clear" w:pos="4320"/>
          <w:tab w:val="clear" w:pos="8640"/>
        </w:tabs>
        <w:rPr>
          <w:bCs/>
          <w:color w:val="333399"/>
        </w:rPr>
      </w:pPr>
      <w:r>
        <w:rPr>
          <w:b/>
          <w:color w:val="333399"/>
        </w:rPr>
        <w:t xml:space="preserve">FERC Staff Release Revised Version of Report on Stakeholder Involvement for Pipeline Planning. </w:t>
      </w:r>
      <w:r>
        <w:rPr>
          <w:bCs/>
          <w:color w:val="333399"/>
        </w:rPr>
        <w:t xml:space="preserve"> The report has been revised based on feedback recently received in the seminar held October 26, 2001. Staff is in the process of planning a series of workshops to bring interstate natural gas companies and federal, state and local agency representatives together with landowners to discuss implementation of stakeholder involvement programs. Future notices will announce the format, dates and locations of the workshops. </w:t>
      </w:r>
      <w:hyperlink r:id="rId2">
        <w:r>
          <w:rPr>
            <w:rStyle w:val="Hyperlink"/>
            <w:bCs/>
          </w:rPr>
          <w:t>Revisions</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First Quarter Refund Interest Rate. </w:t>
      </w:r>
      <w:r>
        <w:rPr>
          <w:bCs/>
          <w:color w:val="333399"/>
        </w:rPr>
        <w:t xml:space="preserve">On December 18, FERC issued a notice that the first quarter 2002 refund interest rate is dropping to 5.64%.  The rate for the fourth quarter of 2001 was set at 6.80%. </w:t>
      </w:r>
      <w:hyperlink r:id="rId3">
        <w:r>
          <w:rPr>
            <w:rStyle w:val="Hyperlink"/>
            <w:bCs/>
          </w:rPr>
          <w:t>Refund Interest Rate</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Institutes Project of Paragraph Numbering in Orders. </w:t>
      </w:r>
      <w:r>
        <w:rPr>
          <w:bCs/>
          <w:color w:val="333399"/>
        </w:rPr>
        <w:t xml:space="preserve">Announced on December 19 is a FERC-initiated project to number paragraphs in Commission orders. The purpose of using paragraph numbering is to create a uniform citation format so that accurate citation can be made to orders regardless of the source in which the order is published. The official citation for Commission orders, however, remains with the Federal Energy Guidelines. </w:t>
      </w:r>
      <w:hyperlink r:id="rId4">
        <w:r>
          <w:rPr>
            <w:rStyle w:val="Hyperlink"/>
            <w:bCs/>
          </w:rPr>
          <w:t>Project</w:t>
        </w:r>
      </w:hyperlink>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FERC Rulemaking</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NOPR – Accounting and Reporting of Financial Instruments, Comprehensive Income, Derivatives and Hedging Activities, RM02-3. </w:t>
      </w:r>
      <w:r>
        <w:rPr>
          <w:bCs/>
          <w:color w:val="333399"/>
        </w:rPr>
        <w:t xml:space="preserve">FERC issued a Notice of Proposed Rulemaking on December 20 proposing to revise its regulations to update the accounting and reporting requirements under its Uniform Systems of Accounts. The proposal establishes uniform accounting requirements and related accounts for the recognition of changes in the fair value of certain security investments, items of other comprehensive income, derivative instruments, and hedging activities. New balance sheets will be added to record items of other comprehensive income and derivative instruments. FERC also proposes to revise the various FERC Forms to accommodate the new accounts and schedules. Comments on the proposed rulemaking are due 60 days after publication in the Federal Register, probably at the end of February or beginning of March 2002. </w:t>
      </w:r>
      <w:hyperlink r:id="rId5">
        <w:r>
          <w:rPr>
            <w:rStyle w:val="Hyperlink"/>
            <w:bCs/>
          </w:rPr>
          <w:t>RM02-3</w:t>
        </w:r>
      </w:hyperlink>
      <w:r>
        <w:rPr>
          <w:bCs/>
          <w:color w:val="333399"/>
        </w:rPr>
        <w:t xml:space="preserve">  </w:t>
      </w:r>
    </w:p>
    <w:p>
      <w:pPr>
        <w:pStyle w:val="Header"/>
        <w:tabs>
          <w:tab w:val="clear" w:pos="4320"/>
          <w:tab w:val="clear" w:pos="8640"/>
        </w:tabs>
        <w:rPr>
          <w:bCs/>
          <w:color w:val="333399"/>
        </w:rPr>
      </w:pPr>
      <w:r>
        <w:rPr>
          <w:bCs/>
          <w:color w:val="333399"/>
        </w:rPr>
      </w:r>
    </w:p>
    <w:p>
      <w:pPr>
        <w:pStyle w:val="Header"/>
        <w:tabs>
          <w:tab w:val="clear" w:pos="4320"/>
          <w:tab w:val="clear" w:pos="8640"/>
        </w:tabs>
        <w:ind w:start="720" w:end="0"/>
        <w:rPr/>
      </w:pPr>
      <w:r>
        <w:rPr>
          <w:bCs/>
          <w:i/>
          <w:iCs/>
          <w:color w:val="333399"/>
        </w:rPr>
        <w:t xml:space="preserve">Note: </w:t>
      </w:r>
      <w:r>
        <w:rPr>
          <w:bCs/>
          <w:color w:val="333399"/>
        </w:rPr>
        <w:t xml:space="preserve">Financial analyst, Curt Launer of Credit Suisse First Boston has asked FERC to exercise “extreme caution over the next few months” in its regulatory rulings to avoid sending the embattled energy markets into a further spin. In a December 17 letter to Chairman Pat Wood, Launer indicated that broad-based initiatives by the agency, such as sweeping changes to accounting regulations, could add to the current atmosphere of near hysteria in the industry and financial district. Significantly, Moody’s Investor Services has downgraded the debt of several major energy companies to near or junk bond status warning further rating cuts would cause great instability in the market. Now is the time for FERC and other agencies to move cautiously forward, no knee jerk reactions.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NOPR - Gas Industry Standards, Version 1.5 Issued December 20. </w:t>
      </w:r>
      <w:r>
        <w:rPr>
          <w:bCs/>
          <w:color w:val="333399"/>
        </w:rPr>
        <w:t xml:space="preserve">On December 20, FERC issued a NOPR proposing to incorporate by reference the most recent version of the Gas Industry Standards, Version 1.5. Pipelines would be required to implement the standards three months after a final rule is issued. FERC proposes to amend § 284.12 of its open access regulations governing standards for conducting business practices and electronic communications with interstate natural gas pipelines. The newest version of GISB standards contains a) modifications to the data set, data element and code value tables to support Internet web page standards, business practice standards and data sets governing imbalance netting and trading, standards for title tracking (tracking at pooling points), and standards to support the implementation of Order No. 637. FERC is requesting comment due 30 days after publication in the Federal Register.    </w:t>
      </w:r>
      <w:hyperlink r:id="rId6">
        <w:r>
          <w:rPr>
            <w:rStyle w:val="Hyperlink"/>
            <w:bCs/>
          </w:rPr>
          <w:t>RM96-1</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Electricity Market Design and Structure. </w:t>
      </w:r>
      <w:r>
        <w:rPr>
          <w:bCs/>
          <w:color w:val="333399"/>
        </w:rPr>
        <w:t>In an order issued December 19, FERC provides guidance in the formation of a standards development organization for the electric industry that mimics those of the Gas Industry Standards Board for the natural gas industry. FERC is in the process of issuing a Notice of Proposed Rulemaking dealing with market design for the electric market. As part of this process, standards governing business practices and electronic communications are needed to coordinate with these principles. A single organization with electric industry representatives is requested.  RM01-12</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Proposed Affiliate Rule Splits Industry. </w:t>
      </w:r>
      <w:r>
        <w:rPr>
          <w:bCs/>
          <w:color w:val="333399"/>
        </w:rPr>
        <w:t xml:space="preserve">Pipelines, electric utility transmission owners and LDCs believe FERC has gone over-board in its proposed rule that would completely wall off the regulated transportation/transmission companies from their unregulated affiliates to prevent exercise of market power. Shippers and consumers think FERC has struck just the right balance. A summary of comments will be prepared early next year.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Order Seeking Comments on Proposed Data Sets (Revised Public Utility Filing Requirements), RM01-8. </w:t>
      </w:r>
      <w:r>
        <w:rPr>
          <w:bCs/>
          <w:color w:val="333399"/>
        </w:rPr>
        <w:t xml:space="preserve">FERC has issued an order requesting comments on a proposed set of uniform data elements for public utilities’ quarterly electronic filings that would accompany the final rule. Written comments are due 30 days after publication in the Federal Register. </w:t>
      </w:r>
      <w:hyperlink r:id="rId7">
        <w:r>
          <w:rPr>
            <w:rStyle w:val="Hyperlink"/>
            <w:bCs/>
          </w:rPr>
          <w:t>RM01-8</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FERC Requires Software Use For Submission of FERC Form Nos. 2 and 2-A. </w:t>
      </w:r>
      <w:r>
        <w:rPr>
          <w:bCs/>
          <w:color w:val="333399"/>
        </w:rPr>
        <w:t xml:space="preserve">FERC has issued a Notice of Availability of submission software for FERC Form 2 and 2-A Annual Report of Major Natural Gas Companies and Annual Report of Non-major Natural Gas Companies. The software is free of charge and all jurisdictional respondents are required to use it starting with the 2001 submissions due on or before March 31, 2002 for Form No. 2-A and April 30, 2002 for Form No. 2. Distribution, set-up, updates and submission of the electronic filing will be accomplished via the Internet. To ensure updates are disseminated to the right parties, FERC is establishing a point-of-contact list for companies that file these forms. Persons who submit these forms must first register to receive a Personal Identification Number (PIN) and the PIN is required for electronic filing. </w:t>
      </w:r>
      <w:hyperlink r:id="rId8">
        <w:r>
          <w:rPr>
            <w:rStyle w:val="Hyperlink"/>
            <w:bCs/>
          </w:rPr>
          <w:t>RM95-4</w:t>
        </w:r>
      </w:hyperlink>
    </w:p>
    <w:p>
      <w:pPr>
        <w:pStyle w:val="Header"/>
        <w:tabs>
          <w:tab w:val="clear" w:pos="4320"/>
          <w:tab w:val="clear" w:pos="8640"/>
        </w:tabs>
        <w:rPr>
          <w:bCs/>
          <w:color w:val="333399"/>
        </w:rPr>
      </w:pPr>
      <w:r>
        <w:rPr>
          <w:bCs/>
          <w:color w:val="333399"/>
        </w:rPr>
      </w:r>
    </w:p>
    <w:p>
      <w:pPr>
        <w:pStyle w:val="Header"/>
        <w:tabs>
          <w:tab w:val="clear" w:pos="4320"/>
          <w:tab w:val="clear" w:pos="8640"/>
        </w:tabs>
        <w:rPr>
          <w:bCs/>
          <w:color w:val="333399"/>
        </w:rPr>
      </w:pPr>
      <w:r>
        <w:rPr>
          <w:bCs/>
          <w:color w:val="333399"/>
        </w:rPr>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Florida Gas</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Accepted tariff sheets reflecting revised funding surcharges for the 2002 Gas Research Institute surcharges, RP02-66</w:t>
      </w:r>
    </w:p>
    <w:p>
      <w:pPr>
        <w:pStyle w:val="Header"/>
        <w:numPr>
          <w:ilvl w:val="0"/>
          <w:numId w:val="1"/>
        </w:numPr>
        <w:tabs>
          <w:tab w:val="clear" w:pos="4320"/>
          <w:tab w:val="clear" w:pos="8640"/>
        </w:tabs>
        <w:rPr>
          <w:bCs/>
          <w:color w:val="333399"/>
        </w:rPr>
      </w:pPr>
      <w:r>
        <w:rPr>
          <w:b/>
          <w:color w:val="333399"/>
        </w:rPr>
        <w:t>Northern Natural</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Accepted compliance filing and Northern’s explanation of the System Balancing Agreements cost allocation to interruptible shippers. FERC found the proposal to continue its $0.01 per MMBtu usage surcharge for interruptible service reasonable and just after suspending Northern’s tariff sheets in an order issued December 29, 2000, and granting rehearing in an order issued February 23, 2001. RP01-169</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 xml:space="preserve">Grants authority to terminate agreement with Westar Transmission Company under certain rate schedule, CP01-432. </w:t>
      </w:r>
    </w:p>
    <w:p>
      <w:pPr>
        <w:pStyle w:val="Header"/>
        <w:numPr>
          <w:ilvl w:val="0"/>
          <w:numId w:val="4"/>
        </w:numPr>
        <w:tabs>
          <w:tab w:val="clear" w:pos="4320"/>
          <w:tab w:val="clear" w:pos="8640"/>
          <w:tab w:val="left" w:pos="1080" w:leader="none"/>
        </w:tabs>
        <w:ind w:hanging="360" w:start="1080" w:end="0"/>
        <w:rPr>
          <w:bCs/>
          <w:color w:val="333399"/>
        </w:rPr>
      </w:pPr>
      <w:r>
        <w:rPr>
          <w:bCs/>
          <w:color w:val="333399"/>
        </w:rPr>
        <w:t>Accepted tariff sheets reflecting new GRI surcharges for Year 2002, RP02-64</w:t>
      </w:r>
    </w:p>
    <w:p>
      <w:pPr>
        <w:pStyle w:val="Header"/>
        <w:numPr>
          <w:ilvl w:val="0"/>
          <w:numId w:val="1"/>
        </w:numPr>
        <w:tabs>
          <w:tab w:val="clear" w:pos="4320"/>
          <w:tab w:val="clear" w:pos="8640"/>
        </w:tabs>
        <w:rPr>
          <w:bCs/>
          <w:color w:val="333399"/>
        </w:rPr>
      </w:pPr>
      <w:r>
        <w:rPr>
          <w:b/>
          <w:color w:val="333399"/>
        </w:rPr>
        <w:t>Overthrust Pipeline</w:t>
      </w:r>
    </w:p>
    <w:p>
      <w:pPr>
        <w:pStyle w:val="Header"/>
        <w:numPr>
          <w:ilvl w:val="0"/>
          <w:numId w:val="3"/>
        </w:numPr>
        <w:tabs>
          <w:tab w:val="clear" w:pos="4320"/>
          <w:tab w:val="clear" w:pos="8640"/>
          <w:tab w:val="left" w:pos="1080" w:leader="none"/>
        </w:tabs>
        <w:ind w:hanging="360" w:start="1080" w:end="0"/>
        <w:rPr>
          <w:bCs/>
          <w:color w:val="333399"/>
        </w:rPr>
      </w:pPr>
      <w:r>
        <w:rPr>
          <w:bCs/>
          <w:color w:val="333399"/>
        </w:rPr>
        <w:t>Accepted deletion of Enron Overthrust Pipeline’s interest in the Overthrust partnership, RP02-53</w:t>
      </w:r>
    </w:p>
    <w:p>
      <w:pPr>
        <w:pStyle w:val="Header"/>
        <w:numPr>
          <w:ilvl w:val="0"/>
          <w:numId w:val="1"/>
        </w:numPr>
        <w:tabs>
          <w:tab w:val="clear" w:pos="4320"/>
          <w:tab w:val="clear" w:pos="8640"/>
        </w:tabs>
        <w:rPr>
          <w:bCs/>
          <w:color w:val="333399"/>
        </w:rPr>
      </w:pPr>
      <w:r>
        <w:rPr>
          <w:b/>
          <w:color w:val="333399"/>
        </w:rPr>
        <w:t>Transwestern</w:t>
      </w:r>
    </w:p>
    <w:p>
      <w:pPr>
        <w:pStyle w:val="Header"/>
        <w:numPr>
          <w:ilvl w:val="0"/>
          <w:numId w:val="5"/>
        </w:numPr>
        <w:tabs>
          <w:tab w:val="clear" w:pos="4320"/>
          <w:tab w:val="clear" w:pos="8640"/>
          <w:tab w:val="left" w:pos="1080" w:leader="none"/>
        </w:tabs>
        <w:ind w:hanging="360" w:start="1080" w:end="0"/>
        <w:rPr>
          <w:bCs/>
          <w:color w:val="333399"/>
        </w:rPr>
      </w:pPr>
      <w:r>
        <w:rPr>
          <w:bCs/>
          <w:color w:val="333399"/>
        </w:rPr>
        <w:t>Accepted tariff sheets reflecting new GRI surcharges for Year 2002, RP02-63</w:t>
      </w:r>
    </w:p>
    <w:p>
      <w:pPr>
        <w:pStyle w:val="Header"/>
        <w:tabs>
          <w:tab w:val="clear" w:pos="4320"/>
          <w:tab w:val="clear" w:pos="8640"/>
        </w:tabs>
        <w:rPr>
          <w:bCs/>
          <w:shadow/>
          <w:color w:val="333399"/>
        </w:rPr>
      </w:pPr>
      <w:r>
        <w:rPr>
          <w:bCs/>
          <w:shadow/>
          <w:color w:val="333399"/>
        </w:rPr>
      </w:r>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El Paso Remanded to ALJ. </w:t>
      </w:r>
      <w:r>
        <w:rPr>
          <w:bCs/>
          <w:color w:val="333399"/>
        </w:rPr>
        <w:t>In an order issued this week, FERC remands this proceeding back to the Chief ALJ to reopen the record for the purposes of a supplemental hearing. The hearing will be limited to the issue of whether, during the period from November 2000 through March 2001, El Paso made all of its capacity available to shippers at its California delivery points. While the ALJ found that El Paso had posted on its EBB all of the capacity available at each California delivery point – and that capacity not used by firm shippers was made available to interruptible shippers willing to pay the pipeline’s rates – FERC was not satisfied. The order states that “…it is not clear whether unused capacity was made available” for interruptible during the winter heating season. At issue during the case was whether El Paso Merchant Energy, holding 1.22 Bcf/d of capacity on El Paso Natural Gas from the Permian Basin to the Southern California border – gave the company disproportionate control of gas supply and the resulting spot prices. RP00-241</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Millennium Project Receives Approval With Conditions. </w:t>
      </w:r>
      <w:r>
        <w:rPr>
          <w:bCs/>
          <w:color w:val="333399"/>
        </w:rPr>
        <w:t xml:space="preserve">This week FERC gave interim approval for the construction of the Millennium Pipeline Project that will transport Canadian and domestic gas to markets primarily to New York City metropolitan area. The pipeline is to consist of 424 miles of pipe, compressor stations and related facilities to transport gas near Lake Erie, NY to a terminus near Mount Vernon. The $683.6 million project will interconnect with facilities owned by TransCanada Pipeline and will transport 700,000 Dth/d. At the terminus Millennium will interconnect with pipelines owned by Columbia Gas, Algonquin Gas and Tennessee Gas. There are a series of construction conditions directed to minimize impacts on landowners and the environment. Landowners, local officials and Millennium’s sponsors were given 60 days in which to resolve a dispute over the routing for the last two miles of the pipeline into Mount Vernon, NY.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Cove Point Order Reaffirms Earlier Decision to Allow Williams to Reopen and Expand. </w:t>
      </w:r>
      <w:r>
        <w:rPr>
          <w:bCs/>
          <w:color w:val="333399"/>
        </w:rPr>
        <w:t>In an order issued this week, FERC grants authorization for Cove Point LNG to construct new facilities and reactivate and operate existing facilities at the liquefied natural gas terminal in Maryland. On its own motion on November 9, 2001, FERC established proceedings to gather further evidence with respect to security issues associated with this authorization. This order accepts the established security measures as sufficient in light of the terrorist attacks of September 11. Chairman Wood felt compelled to reopen these proceedings to ensure adequate measures were in place to avoid any security threat to the nearby nuclear power plant. CP01-76</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Kinder Morgan Buys Tejas Gas</w:t>
      </w:r>
      <w:r>
        <w:rPr>
          <w:bCs/>
          <w:color w:val="333399"/>
        </w:rPr>
        <w:t xml:space="preserve">. Kinder Morgan added the 3,400-mile intrastate pipeline to its system for $750 million. Tejas has a transportation capacity of 3.5 Bcf/d with its system extending from south Texas along the Mexico border and the Texas Gulf Coast to near the Louisiana border and north from near Houston to East Texas. KMP has announced almost $1.4 billion in acquisitions in 2001 and over $6 billion since its formation less than five years ago. </w:t>
      </w:r>
    </w:p>
    <w:p>
      <w:pPr>
        <w:pStyle w:val="Header"/>
        <w:tabs>
          <w:tab w:val="clear" w:pos="4320"/>
          <w:tab w:val="clear" w:pos="8640"/>
        </w:tabs>
        <w:rPr>
          <w:bCs/>
          <w:color w:val="333399"/>
        </w:rPr>
      </w:pPr>
      <w:r>
        <w:rPr>
          <w:bCs/>
          <w:color w:val="333399"/>
        </w:rPr>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California Energy Matters</w:t>
      </w:r>
    </w:p>
    <w:p>
      <w:pPr>
        <w:pStyle w:val="Header"/>
        <w:tabs>
          <w:tab w:val="clear" w:pos="4320"/>
          <w:tab w:val="clear" w:pos="8640"/>
        </w:tabs>
        <w:jc w:val="center"/>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Cal-ISO Disburses $400 Million to Generators. </w:t>
      </w:r>
      <w:r>
        <w:rPr>
          <w:bCs/>
          <w:color w:val="333399"/>
        </w:rPr>
        <w:t xml:space="preserve">Cal-ISO made payments to 19 generator/suppliers in the state for real-time imbalance and ancillary service supplies for the period from mid-January through February this year. This $400 million payment is the first of three payments. The past-due charges arose after January 17 when the Department of Water Resources stepped in to buy the daily supplies for the state’s two largest private-sector utilities, PG&amp;E and SoCal Edison. FERC ordered the state to pay the past-due bills last month. DWR has agreed to pay up to $955 million to merchant power generators scheduled to take place before the end of the year.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California Statistics Reveal Government-run Utilities Charged Most for Wholesale Power Supplies During Six Months of Year. </w:t>
      </w:r>
      <w:r>
        <w:rPr>
          <w:bCs/>
          <w:color w:val="333399"/>
        </w:rPr>
        <w:t xml:space="preserve">The California official electricity statistics confirm that the state’s two largest local government-run utilities on average charged the most for wholesale power supplies during the first six months of this year. The City of Los Angeles Department of Water and Power and the Sacramento Municipal Utility District charged on average $276/MWh and $268/MWh, respectively. The closest merchant power providers from the private sector charged $252 MWh. </w:t>
      </w:r>
    </w:p>
    <w:p>
      <w:pPr>
        <w:pStyle w:val="Header"/>
        <w:tabs>
          <w:tab w:val="clear" w:pos="4320"/>
          <w:tab w:val="clear" w:pos="8640"/>
        </w:tabs>
        <w:jc w:val="center"/>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Electric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Reliant Energy Undertakes Corporate Restructuring. </w:t>
      </w:r>
      <w:r>
        <w:rPr>
          <w:bCs/>
          <w:color w:val="333399"/>
        </w:rPr>
        <w:t xml:space="preserve">The restructuring will ultimately divide the company into a regulated energy delivery company named CenterPoint Energy and a competitive energy services provider called Reliant Resources. This week shareholders approved the formation of a new holding company called CenterPoint Energy for both the regulated energy delivery business and Reliant Resources. CenterPoint Energy will include electricity transmission and distribution, natural gas distribution, pipelines and gathering. Reliant Resources will include unregulated power generation, wholesale energy trading and marketing and retail energy marketing. Reliant expects to complete the restructuring in the first quarter 2002.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Midwest RTO Approved. </w:t>
      </w:r>
      <w:r>
        <w:rPr>
          <w:bCs/>
          <w:color w:val="333399"/>
        </w:rPr>
        <w:t xml:space="preserve">This week FERC approved the Midwest ISO proposal, dispensing with Alliance Companies separate RTO proposal in another order. The order does not preclude different types of RTOs, including for-profit transcos. The Midwest RTO will operate in some 20 states and the Canadian province of Manitoba. The Alliance Companies cover parts of 11 of those states. In a third order, FERC granted in part, and deferred in part a National Grid proposal to manage the Alliance transmission system. FERC encourages Alliance and National Grid to determine the viability of joining the MISO RTO as a Transco. </w:t>
      </w:r>
    </w:p>
    <w:p>
      <w:pPr>
        <w:pStyle w:val="Header"/>
        <w:tabs>
          <w:tab w:val="clear" w:pos="4320"/>
          <w:tab w:val="clear" w:pos="8640"/>
        </w:tabs>
        <w:rPr>
          <w:bCs/>
          <w:color w:val="333399"/>
        </w:rPr>
      </w:pPr>
      <w:r>
        <w:rPr>
          <w:bCs/>
          <w:color w:val="333399"/>
        </w:rPr>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District Court</w:t>
      </w:r>
    </w:p>
    <w:p>
      <w:pPr>
        <w:pStyle w:val="Header"/>
        <w:tabs>
          <w:tab w:val="clear" w:pos="4320"/>
          <w:tab w:val="clear" w:pos="8640"/>
        </w:tabs>
        <w:jc w:val="center"/>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Circuit Court Says RTOs Voluntary. </w:t>
      </w:r>
      <w:r>
        <w:rPr>
          <w:bCs/>
          <w:color w:val="333399"/>
        </w:rPr>
        <w:t>Upholding Order 2000, the D.C.Circuit Court of Appeals last week rejected assertions that FERC had mandated participation in regional transmission organizations. While the order might make the option of not joining an RTO exceptionally unappealing, FERC did not require participation, the court held. The Dec. 11 opinion addressed how FERC should consider the costs and benefits of RTO formation, expressing an expectation that FERC should consider analysis presented to it before ruling on a specific RTO proposal. The court also found it permissible for FERC to allow utilities to propose passive ownership of transmission assets on a transitional basis and to consider the scope of individual RTO plans if that would compromise the independence of the RTO. Case No.00-1174</w:t>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Legislative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Barton Delays Electricity Bill Mark-up Until February. </w:t>
      </w:r>
      <w:r>
        <w:rPr>
          <w:bCs/>
          <w:color w:val="333399"/>
        </w:rPr>
        <w:t xml:space="preserve">The House Subcommittee on Energy and Air Quality has delayed marking up the electric transmission and supply legislation until February next year. In light of the holidays, it has been decided to postpone the markup. Before proceeding to markup, Democrats have suggested that the subcommittee take a closer look at our recent financial meltdown.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Department of Justice Investigates PJM Market Power Allegations. </w:t>
      </w:r>
      <w:r>
        <w:rPr>
          <w:bCs/>
          <w:color w:val="333399"/>
        </w:rPr>
        <w:t xml:space="preserve"> The antitrust division of DOJ is probing allegations raised in a PJM Interconnection report that concludes that earlier this year a market participant exercised undue market power in PJM’s capacity credit markets causing prices to spike higher than would have otherwise occurred in a competitive market. Although unnamed by PJM, PPL Corp’s chief financial officer acknowledged that its PPL EnergyPlus affiliate is the entity. Now DOJ is seeking answers related to operations in PJM’s capacity credit markets through a civil investigative demand (requests for documents discussing or involving capacity credits offered for sale or purchase in the capacity markets). </w:t>
      </w:r>
    </w:p>
    <w:p>
      <w:pPr>
        <w:pStyle w:val="Header"/>
        <w:tabs>
          <w:tab w:val="clear" w:pos="4320"/>
          <w:tab w:val="clear" w:pos="8640"/>
        </w:tabs>
        <w:rPr>
          <w:bCs/>
          <w:color w:val="333399"/>
        </w:rPr>
      </w:pPr>
      <w:r>
        <w:rPr>
          <w:bCs/>
          <w:color w:val="333399"/>
        </w:rPr>
      </w:r>
    </w:p>
    <w:p>
      <w:pPr>
        <w:pStyle w:val="Header"/>
        <w:tabs>
          <w:tab w:val="clear" w:pos="4320"/>
          <w:tab w:val="clear" w:pos="8640"/>
        </w:tabs>
        <w:rPr>
          <w:b/>
          <w:bCs/>
          <w:shadow/>
          <w:color w:val="333399"/>
        </w:rPr>
      </w:pPr>
      <w:r>
        <w:rPr>
          <w:b/>
          <w:bCs/>
          <w:shadow/>
          <w:color w:val="333399"/>
        </w:rPr>
      </w:r>
    </w:p>
    <w:sectPr>
      <w:footerReference w:type="default" r:id="rId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Dec-21.doc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rc.gov/gas/stakeholder.pdf" TargetMode="External"/><Relationship Id="rId3" Type="http://schemas.openxmlformats.org/officeDocument/2006/relationships/hyperlink" Target="http://cips.ferc.gov/Q/CIPS/MISC/NR/NR01-62.000.TXT" TargetMode="External"/><Relationship Id="rId4" Type="http://schemas.openxmlformats.org/officeDocument/2006/relationships/hyperlink" Target="http://cips.ferc.gov/Q/CIPS/MISC/CA/CA121901.00A.TXT" TargetMode="External"/><Relationship Id="rId5" Type="http://schemas.openxmlformats.org/officeDocument/2006/relationships/hyperlink" Target="http://cips.ferc.gov/Q/CIPS/RULES/RM/RM02-3.000.TXT" TargetMode="External"/><Relationship Id="rId6" Type="http://schemas.openxmlformats.org/officeDocument/2006/relationships/hyperlink" Target="http://cips.ferc.gov/Q/CIPS/RULES/RM/RM96-1.020.TXT" TargetMode="External"/><Relationship Id="rId7" Type="http://schemas.openxmlformats.org/officeDocument/2006/relationships/hyperlink" Target="http://cips.ferc.gov/Q/CIPS/RULES/RM/RM01-8.00A.TXT" TargetMode="External"/><Relationship Id="rId8" Type="http://schemas.openxmlformats.org/officeDocument/2006/relationships/hyperlink" Target="http://cips.ferc.gov/Q/CIPS/RULES/RM/RM95-4.00U.TXT"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2001-12-18T16:17:00Z</dcterms:created>
  <dc:creator>jbutler</dc:creator>
  <dc:description/>
  <dc:language>en-CA</dc:language>
  <cp:lastModifiedBy>jbutler</cp:lastModifiedBy>
  <cp:lastPrinted>2001-12-21T11:01:00Z</cp:lastPrinted>
  <dcterms:modified xsi:type="dcterms:W3CDTF">2001-12-21T15:02:00Z</dcterms:modified>
  <cp:revision>17</cp:revision>
  <dc:subject/>
  <dc:title>General FERC Matters</dc:title>
</cp:coreProperties>
</file>