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p>
      <w:pPr>
        <w:pStyle w:val="Heading"/>
        <w:rPr>
          <w:rFonts w:ascii="Times New Roman" w:hAnsi="Times New Roman" w:cs="Times New Roman"/>
        </w:rPr>
      </w:pPr>
      <w:r>
        <w:rPr>
          <w:rFonts w:cs="Times New Roman" w:ascii="Times New Roman" w:hAnsi="Times New Roman"/>
        </w:rPr>
      </w:r>
    </w:p>
    <w:p>
      <w:pPr>
        <w:pStyle w:val="Heading"/>
        <w:rPr>
          <w:rFonts w:ascii="Times New Roman" w:hAnsi="Times New Roman" w:cs="Times New Roman"/>
          <w:u w:val="single"/>
        </w:rPr>
      </w:pPr>
      <w:r>
        <w:rPr>
          <w:rFonts w:cs="Times New Roman" w:ascii="Times New Roman" w:hAnsi="Times New Roman"/>
          <w:u w:val="single"/>
        </w:rPr>
      </w:r>
    </w:p>
    <w:tbl>
      <w:tblPr>
        <w:tblW w:w="9809" w:type="dxa"/>
        <w:jc w:val="start"/>
        <w:tblInd w:w="-72" w:type="dxa"/>
        <w:tblLayout w:type="fixed"/>
        <w:tblCellMar>
          <w:top w:w="0" w:type="dxa"/>
          <w:start w:w="108" w:type="dxa"/>
          <w:bottom w:w="0" w:type="dxa"/>
          <w:end w:w="108" w:type="dxa"/>
        </w:tblCellMar>
      </w:tblPr>
      <w:tblGrid>
        <w:gridCol w:w="1016"/>
        <w:gridCol w:w="4813"/>
        <w:gridCol w:w="1388"/>
        <w:gridCol w:w="2592"/>
      </w:tblGrid>
      <w:tr>
        <w:trPr>
          <w:trHeight w:val="300" w:hRule="exact"/>
        </w:trPr>
        <w:tc>
          <w:tcPr>
            <w:tcW w:w="1016" w:type="dxa"/>
            <w:tcBorders/>
          </w:tcPr>
          <w:p>
            <w:pPr>
              <w:pStyle w:val="Normal"/>
              <w:ind w:start="-180" w:end="0"/>
              <w:jc w:val="end"/>
              <w:rPr>
                <w:rFonts w:ascii="Times New Roman" w:hAnsi="Times New Roman" w:cs="Times New Roman"/>
                <w:b/>
              </w:rPr>
            </w:pPr>
            <w:r>
              <w:rPr>
                <w:rFonts w:cs="Times New Roman" w:ascii="Times New Roman" w:hAnsi="Times New Roman"/>
                <w:b/>
              </w:rPr>
              <w:t>To:</w:t>
            </w:r>
          </w:p>
        </w:tc>
        <w:tc>
          <w:tcPr>
            <w:tcW w:w="4813" w:type="dxa"/>
            <w:tcBorders/>
          </w:tcPr>
          <w:p>
            <w:pPr>
              <w:pStyle w:val="To"/>
              <w:rPr>
                <w:rFonts w:ascii="Times New Roman" w:hAnsi="Times New Roman" w:cs="Times New Roman"/>
                <w:sz w:val="24"/>
              </w:rPr>
            </w:pPr>
            <w:r>
              <w:rPr>
                <w:rFonts w:cs="Times New Roman" w:ascii="Times New Roman" w:hAnsi="Times New Roman"/>
                <w:sz w:val="24"/>
              </w:rPr>
              <w:t>Michael Moran</w:t>
            </w:r>
          </w:p>
        </w:tc>
        <w:tc>
          <w:tcPr>
            <w:tcW w:w="1388" w:type="dxa"/>
            <w:tcBorders/>
          </w:tcPr>
          <w:p>
            <w:pPr>
              <w:pStyle w:val="Normal"/>
              <w:snapToGrid w:val="false"/>
              <w:ind w:start="-180" w:end="0"/>
              <w:jc w:val="end"/>
              <w:rPr>
                <w:rFonts w:ascii="Times New Roman" w:hAnsi="Times New Roman" w:cs="Times New Roman"/>
                <w:b/>
                <w:sz w:val="24"/>
              </w:rPr>
            </w:pPr>
            <w:r>
              <w:rPr>
                <w:rFonts w:cs="Times New Roman" w:ascii="Times New Roman" w:hAnsi="Times New Roman"/>
                <w:b/>
                <w:sz w:val="24"/>
              </w:rPr>
            </w:r>
          </w:p>
        </w:tc>
        <w:tc>
          <w:tcPr>
            <w:tcW w:w="2592" w:type="dxa"/>
            <w:tcBorders/>
          </w:tcPr>
          <w:p>
            <w:pPr>
              <w:pStyle w:val="Normal"/>
              <w:snapToGrid w:val="false"/>
              <w:rPr>
                <w:rFonts w:ascii="Times New Roman" w:hAnsi="Times New Roman" w:cs="Times New Roman"/>
                <w:b/>
              </w:rPr>
            </w:pPr>
            <w:r>
              <w:rPr>
                <w:rFonts w:cs="Times New Roman" w:ascii="Times New Roman" w:hAnsi="Times New Roman"/>
                <w:b/>
              </w:rPr>
            </w:r>
          </w:p>
        </w:tc>
      </w:tr>
      <w:tr>
        <w:trPr>
          <w:trHeight w:val="216" w:hRule="exact"/>
        </w:trPr>
        <w:tc>
          <w:tcPr>
            <w:tcW w:w="1016" w:type="dxa"/>
            <w:tcBorders/>
          </w:tcPr>
          <w:p>
            <w:pPr>
              <w:pStyle w:val="Normal"/>
              <w:snapToGrid w:val="false"/>
              <w:ind w:start="-180" w:end="0"/>
              <w:jc w:val="end"/>
              <w:rPr>
                <w:rFonts w:ascii="Times New Roman" w:hAnsi="Times New Roman" w:cs="Times New Roman"/>
                <w:b/>
              </w:rPr>
            </w:pPr>
            <w:r>
              <w:rPr>
                <w:rFonts w:cs="Times New Roman" w:ascii="Times New Roman" w:hAnsi="Times New Roman"/>
                <w:b/>
              </w:rPr>
            </w:r>
          </w:p>
        </w:tc>
        <w:tc>
          <w:tcPr>
            <w:tcW w:w="4813" w:type="dxa"/>
            <w:tcBorders/>
          </w:tcPr>
          <w:p>
            <w:pPr>
              <w:pStyle w:val="Normal"/>
              <w:snapToGrid w:val="false"/>
              <w:rPr>
                <w:rFonts w:ascii="Times New Roman" w:hAnsi="Times New Roman" w:cs="Times New Roman"/>
                <w:b/>
              </w:rPr>
            </w:pPr>
            <w:r>
              <w:rPr>
                <w:rFonts w:cs="Times New Roman" w:ascii="Times New Roman" w:hAnsi="Times New Roman"/>
                <w:b/>
              </w:rPr>
            </w:r>
          </w:p>
        </w:tc>
        <w:tc>
          <w:tcPr>
            <w:tcW w:w="1388" w:type="dxa"/>
            <w:tcBorders/>
          </w:tcPr>
          <w:p>
            <w:pPr>
              <w:pStyle w:val="Normal"/>
              <w:snapToGrid w:val="false"/>
              <w:ind w:start="-180" w:end="0"/>
              <w:jc w:val="end"/>
              <w:rPr>
                <w:rFonts w:ascii="Times New Roman" w:hAnsi="Times New Roman" w:cs="Times New Roman"/>
                <w:b/>
              </w:rPr>
            </w:pPr>
            <w:r>
              <w:rPr>
                <w:rFonts w:cs="Times New Roman" w:ascii="Times New Roman" w:hAnsi="Times New Roman"/>
                <w:b/>
              </w:rPr>
            </w:r>
          </w:p>
        </w:tc>
        <w:tc>
          <w:tcPr>
            <w:tcW w:w="2592" w:type="dxa"/>
            <w:tcBorders/>
          </w:tcPr>
          <w:p>
            <w:pPr>
              <w:pStyle w:val="Normal"/>
              <w:snapToGrid w:val="false"/>
              <w:rPr>
                <w:rFonts w:ascii="Times New Roman" w:hAnsi="Times New Roman" w:cs="Times New Roman"/>
                <w:b/>
              </w:rPr>
            </w:pPr>
            <w:r>
              <w:rPr>
                <w:rFonts w:cs="Times New Roman" w:ascii="Times New Roman" w:hAnsi="Times New Roman"/>
                <w:b/>
              </w:rPr>
            </w:r>
          </w:p>
        </w:tc>
      </w:tr>
      <w:tr>
        <w:trPr>
          <w:trHeight w:val="300" w:hRule="exact"/>
        </w:trPr>
        <w:tc>
          <w:tcPr>
            <w:tcW w:w="1016" w:type="dxa"/>
            <w:tcBorders/>
          </w:tcPr>
          <w:p>
            <w:pPr>
              <w:pStyle w:val="Normal"/>
              <w:ind w:start="-180" w:end="0"/>
              <w:jc w:val="end"/>
              <w:rPr>
                <w:rFonts w:ascii="Times New Roman" w:hAnsi="Times New Roman" w:cs="Times New Roman"/>
                <w:b/>
              </w:rPr>
            </w:pPr>
            <w:r>
              <w:rPr>
                <w:rFonts w:cs="Times New Roman" w:ascii="Times New Roman" w:hAnsi="Times New Roman"/>
                <w:b/>
              </w:rPr>
              <w:t>From:</w:t>
            </w:r>
          </w:p>
        </w:tc>
        <w:tc>
          <w:tcPr>
            <w:tcW w:w="4813" w:type="dxa"/>
            <w:tcBorders/>
          </w:tcPr>
          <w:p>
            <w:pPr>
              <w:pStyle w:val="From"/>
              <w:rPr>
                <w:rFonts w:ascii="Times New Roman" w:hAnsi="Times New Roman" w:cs="Times New Roman"/>
                <w:sz w:val="24"/>
              </w:rPr>
            </w:pPr>
            <w:r>
              <w:rPr>
                <w:rFonts w:cs="Times New Roman" w:ascii="Times New Roman" w:hAnsi="Times New Roman"/>
                <w:sz w:val="24"/>
              </w:rPr>
              <w:t>Drew Fossum</w:t>
            </w:r>
          </w:p>
        </w:tc>
        <w:tc>
          <w:tcPr>
            <w:tcW w:w="1388" w:type="dxa"/>
            <w:tcBorders/>
          </w:tcPr>
          <w:p>
            <w:pPr>
              <w:pStyle w:val="Normal"/>
              <w:snapToGrid w:val="false"/>
              <w:ind w:start="-180" w:end="0"/>
              <w:jc w:val="end"/>
              <w:rPr>
                <w:rFonts w:ascii="Times New Roman" w:hAnsi="Times New Roman" w:cs="Times New Roman"/>
                <w:b/>
                <w:sz w:val="24"/>
              </w:rPr>
            </w:pPr>
            <w:r>
              <w:rPr>
                <w:rFonts w:cs="Times New Roman" w:ascii="Times New Roman" w:hAnsi="Times New Roman"/>
                <w:b/>
                <w:sz w:val="24"/>
              </w:rPr>
            </w:r>
          </w:p>
        </w:tc>
        <w:tc>
          <w:tcPr>
            <w:tcW w:w="2592" w:type="dxa"/>
            <w:tcBorders/>
          </w:tcPr>
          <w:p>
            <w:pPr>
              <w:pStyle w:val="Department"/>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016" w:type="dxa"/>
            <w:tcBorders/>
          </w:tcPr>
          <w:p>
            <w:pPr>
              <w:pStyle w:val="Normal"/>
              <w:snapToGrid w:val="false"/>
              <w:ind w:start="-180" w:end="0"/>
              <w:jc w:val="end"/>
              <w:rPr>
                <w:rFonts w:ascii="Times New Roman" w:hAnsi="Times New Roman" w:cs="Times New Roman"/>
                <w:b/>
                <w:sz w:val="24"/>
              </w:rPr>
            </w:pPr>
            <w:r>
              <w:rPr>
                <w:rFonts w:cs="Times New Roman" w:ascii="Times New Roman" w:hAnsi="Times New Roman"/>
                <w:b/>
                <w:sz w:val="24"/>
              </w:rPr>
            </w:r>
          </w:p>
        </w:tc>
        <w:tc>
          <w:tcPr>
            <w:tcW w:w="4813" w:type="dxa"/>
            <w:tcBorders/>
          </w:tcPr>
          <w:p>
            <w:pPr>
              <w:pStyle w:val="Normal"/>
              <w:snapToGrid w:val="false"/>
              <w:rPr>
                <w:rFonts w:ascii="Times New Roman" w:hAnsi="Times New Roman" w:cs="Times New Roman"/>
                <w:b/>
              </w:rPr>
            </w:pPr>
            <w:r>
              <w:rPr>
                <w:rFonts w:cs="Times New Roman" w:ascii="Times New Roman" w:hAnsi="Times New Roman"/>
                <w:b/>
              </w:rPr>
            </w:r>
          </w:p>
        </w:tc>
        <w:tc>
          <w:tcPr>
            <w:tcW w:w="1388" w:type="dxa"/>
            <w:tcBorders/>
          </w:tcPr>
          <w:p>
            <w:pPr>
              <w:pStyle w:val="Normal"/>
              <w:snapToGrid w:val="false"/>
              <w:ind w:start="-180" w:end="0"/>
              <w:jc w:val="end"/>
              <w:rPr>
                <w:rFonts w:ascii="Times New Roman" w:hAnsi="Times New Roman" w:cs="Times New Roman"/>
                <w:b/>
              </w:rPr>
            </w:pPr>
            <w:r>
              <w:rPr>
                <w:rFonts w:cs="Times New Roman" w:ascii="Times New Roman" w:hAnsi="Times New Roman"/>
                <w:b/>
              </w:rPr>
            </w:r>
          </w:p>
        </w:tc>
        <w:tc>
          <w:tcPr>
            <w:tcW w:w="2592" w:type="dxa"/>
            <w:tcBorders/>
          </w:tcPr>
          <w:p>
            <w:pPr>
              <w:pStyle w:val="Normal"/>
              <w:snapToGrid w:val="false"/>
              <w:rPr>
                <w:rFonts w:ascii="Times New Roman" w:hAnsi="Times New Roman" w:cs="Times New Roman"/>
                <w:b/>
              </w:rPr>
            </w:pPr>
            <w:r>
              <w:rPr>
                <w:rFonts w:cs="Times New Roman" w:ascii="Times New Roman" w:hAnsi="Times New Roman"/>
                <w:b/>
              </w:rPr>
            </w:r>
          </w:p>
        </w:tc>
      </w:tr>
      <w:tr>
        <w:trPr>
          <w:trHeight w:val="600" w:hRule="exact"/>
        </w:trPr>
        <w:tc>
          <w:tcPr>
            <w:tcW w:w="1016" w:type="dxa"/>
            <w:tcBorders>
              <w:bottom w:val="single" w:sz="12" w:space="0" w:color="000000"/>
            </w:tcBorders>
          </w:tcPr>
          <w:p>
            <w:pPr>
              <w:pStyle w:val="Normal"/>
              <w:ind w:start="-180" w:end="0"/>
              <w:jc w:val="end"/>
              <w:rPr>
                <w:rFonts w:ascii="Times New Roman" w:hAnsi="Times New Roman" w:cs="Times New Roman"/>
                <w:b/>
              </w:rPr>
            </w:pPr>
            <w:r>
              <w:rPr>
                <w:rFonts w:cs="Times New Roman" w:ascii="Times New Roman" w:hAnsi="Times New Roman"/>
                <w:b/>
              </w:rPr>
              <w:t>Subject:</w:t>
            </w:r>
          </w:p>
        </w:tc>
        <w:tc>
          <w:tcPr>
            <w:tcW w:w="4813" w:type="dxa"/>
            <w:tcBorders>
              <w:bottom w:val="single" w:sz="12" w:space="0" w:color="000000"/>
            </w:tcBorders>
          </w:tcPr>
          <w:p>
            <w:pPr>
              <w:pStyle w:val="Subject"/>
              <w:rPr>
                <w:rFonts w:ascii="Times New Roman" w:hAnsi="Times New Roman" w:cs="Times New Roman"/>
                <w:sz w:val="24"/>
              </w:rPr>
            </w:pPr>
            <w:r>
              <w:rPr>
                <w:rFonts w:cs="Times New Roman" w:ascii="Times New Roman" w:hAnsi="Times New Roman"/>
                <w:sz w:val="24"/>
              </w:rPr>
              <w:t>Status of 2000 Northern Natural and Transwestern Law Group Objectives</w:t>
            </w:r>
          </w:p>
        </w:tc>
        <w:tc>
          <w:tcPr>
            <w:tcW w:w="1388" w:type="dxa"/>
            <w:tcBorders>
              <w:bottom w:val="single" w:sz="12" w:space="0" w:color="000000"/>
            </w:tcBorders>
          </w:tcPr>
          <w:p>
            <w:pPr>
              <w:pStyle w:val="Normal"/>
              <w:ind w:start="-180" w:end="0"/>
              <w:jc w:val="end"/>
              <w:rPr>
                <w:rFonts w:ascii="Times New Roman" w:hAnsi="Times New Roman" w:cs="Times New Roman"/>
                <w:b/>
              </w:rPr>
            </w:pPr>
            <w:r>
              <w:rPr>
                <w:rFonts w:cs="Times New Roman" w:ascii="Times New Roman" w:hAnsi="Times New Roman"/>
                <w:b/>
              </w:rPr>
              <w:t>Date:</w:t>
            </w:r>
          </w:p>
        </w:tc>
        <w:tc>
          <w:tcPr>
            <w:tcW w:w="2592" w:type="dxa"/>
            <w:tcBorders>
              <w:bottom w:val="single" w:sz="12" w:space="0" w:color="000000"/>
            </w:tcBorders>
          </w:tcPr>
          <w:p>
            <w:pPr>
              <w:pStyle w:val="Date"/>
              <w:rPr>
                <w:rFonts w:ascii="Times New Roman" w:hAnsi="Times New Roman" w:cs="Times New Roman"/>
                <w:sz w:val="24"/>
              </w:rPr>
            </w:pPr>
            <w:r>
              <w:rPr>
                <w:rFonts w:cs="Times New Roman" w:ascii="Times New Roman" w:hAnsi="Times New Roman"/>
                <w:sz w:val="24"/>
              </w:rPr>
              <w:t>December 5, 2000</w:t>
            </w:r>
          </w:p>
        </w:tc>
      </w:tr>
    </w:tbl>
    <w:p>
      <w:pPr>
        <w:pStyle w:val="Body"/>
        <w:jc w:val="both"/>
        <w:rPr>
          <w:rFonts w:ascii="Times New Roman" w:hAnsi="Times New Roman" w:cs="Times New Roman"/>
          <w:sz w:val="24"/>
        </w:rPr>
      </w:pPr>
      <w:r>
        <w:rPr>
          <w:rFonts w:cs="Times New Roman" w:ascii="Times New Roman" w:hAnsi="Times New Roman"/>
          <w:sz w:val="24"/>
        </w:rPr>
      </w:r>
      <w:bookmarkStart w:id="2" w:name="StartOfMemo"/>
      <w:bookmarkStart w:id="3" w:name="StartOfMemo"/>
      <w:bookmarkEnd w:id="3"/>
    </w:p>
    <w:p>
      <w:pPr>
        <w:pStyle w:val="Body"/>
        <w:jc w:val="both"/>
        <w:rPr>
          <w:rFonts w:ascii="Times New Roman" w:hAnsi="Times New Roman" w:cs="Times New Roman"/>
          <w:sz w:val="24"/>
        </w:rPr>
      </w:pPr>
      <w:r>
        <w:rPr>
          <w:rFonts w:cs="Times New Roman" w:ascii="Times New Roman" w:hAnsi="Times New Roman"/>
          <w:sz w:val="24"/>
        </w:rPr>
        <w:tab/>
        <w:t xml:space="preserve">As you requested, this memo outlines the status of the Northern Natural and Transwestern Law Group objectives for 2000.  The original objectives from  my January 2000 memo to Bill Cordes are reproduced in regular type.  The status is reported in bold type. </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jc w:val="center"/>
        <w:rPr>
          <w:rFonts w:ascii="Times New Roman" w:hAnsi="Times New Roman" w:cs="Times New Roman"/>
          <w:b/>
          <w:sz w:val="24"/>
          <w:u w:val="single"/>
        </w:rPr>
      </w:pPr>
      <w:r>
        <w:rPr>
          <w:rFonts w:cs="Times New Roman" w:ascii="Times New Roman" w:hAnsi="Times New Roman"/>
          <w:b/>
          <w:sz w:val="24"/>
          <w:u w:val="single"/>
        </w:rPr>
        <w:t>STATUS OF 2000 NORTHERN NATURAL AND TRANSWESTERN  LAW GROUP OBJECTIVES</w:t>
      </w:r>
    </w:p>
    <w:p>
      <w:pPr>
        <w:pStyle w:val="Body"/>
        <w:jc w:val="both"/>
        <w:rPr>
          <w:rFonts w:ascii="Times New Roman" w:hAnsi="Times New Roman" w:cs="Times New Roman"/>
          <w:b/>
          <w:sz w:val="24"/>
          <w:u w:val="single"/>
        </w:rPr>
      </w:pPr>
      <w:r>
        <w:rPr>
          <w:rFonts w:cs="Times New Roman" w:ascii="Times New Roman" w:hAnsi="Times New Roman"/>
          <w:b/>
          <w:sz w:val="24"/>
          <w:u w:val="single"/>
        </w:rPr>
      </w:r>
    </w:p>
    <w:p>
      <w:pPr>
        <w:pStyle w:val="Body"/>
        <w:jc w:val="both"/>
        <w:rPr>
          <w:rFonts w:ascii="Times New Roman" w:hAnsi="Times New Roman" w:cs="Times New Roman"/>
          <w:b/>
          <w:sz w:val="24"/>
        </w:rPr>
      </w:pPr>
      <w:r>
        <w:rPr>
          <w:rFonts w:cs="Times New Roman" w:ascii="Times New Roman" w:hAnsi="Times New Roman"/>
          <w:b/>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Assist Transwestern and Northern commercial teams with design and implementation of new products and services as described in ET&amp;S Year 2000 business plan.  This will include at least the following:</w:t>
      </w:r>
    </w:p>
    <w:p>
      <w:pPr>
        <w:pStyle w:val="Body"/>
        <w:jc w:val="both"/>
        <w:rPr>
          <w:rFonts w:ascii="Times New Roman" w:hAnsi="Times New Roman" w:cs="Times New Roman"/>
          <w:sz w:val="24"/>
        </w:rPr>
      </w:pPr>
      <w:r>
        <w:rPr>
          <w:rFonts w:cs="Times New Roman" w:ascii="Times New Roman" w:hAnsi="Times New Roman"/>
          <w:sz w:val="24"/>
        </w:rPr>
      </w:r>
    </w:p>
    <w:p>
      <w:pPr>
        <w:pStyle w:val="Body"/>
        <w:numPr>
          <w:ilvl w:val="0"/>
          <w:numId w:val="2"/>
        </w:numPr>
        <w:jc w:val="both"/>
        <w:rPr>
          <w:rFonts w:ascii="Times New Roman" w:hAnsi="Times New Roman" w:cs="Times New Roman"/>
          <w:sz w:val="24"/>
        </w:rPr>
      </w:pPr>
      <w:r>
        <w:rPr>
          <w:rFonts w:cs="Times New Roman" w:ascii="Times New Roman" w:hAnsi="Times New Roman"/>
          <w:sz w:val="24"/>
        </w:rPr>
        <w:t xml:space="preserve">assist the Structured Products Group.  </w:t>
      </w:r>
      <w:r>
        <w:rPr>
          <w:rFonts w:cs="Times New Roman" w:ascii="Times New Roman" w:hAnsi="Times New Roman"/>
          <w:b/>
          <w:sz w:val="24"/>
        </w:rPr>
        <w:t>Status:  Law worked with Northern Marketing to structure and execute a significant financial derivative transaction with Transcanada Energy Marketing in the 4</w:t>
      </w:r>
      <w:r>
        <w:rPr>
          <w:rFonts w:cs="Times New Roman" w:ascii="Times New Roman" w:hAnsi="Times New Roman"/>
          <w:b/>
          <w:sz w:val="24"/>
          <w:vertAlign w:val="superscript"/>
        </w:rPr>
        <w:t>th</w:t>
      </w:r>
      <w:r>
        <w:rPr>
          <w:rFonts w:cs="Times New Roman" w:ascii="Times New Roman" w:hAnsi="Times New Roman"/>
          <w:b/>
          <w:sz w:val="24"/>
        </w:rPr>
        <w:t xml:space="preserve"> Q.  Additionally, Law and the Finance Group have developed a risk management policy that, once approved by Enron Corp., would allow the ETS pipelines to trade financial products including swaps and options.</w:t>
      </w:r>
    </w:p>
    <w:p>
      <w:pPr>
        <w:pStyle w:val="Body"/>
        <w:numPr>
          <w:ilvl w:val="0"/>
          <w:numId w:val="2"/>
        </w:numPr>
        <w:jc w:val="both"/>
        <w:rPr>
          <w:rFonts w:ascii="Times New Roman" w:hAnsi="Times New Roman" w:cs="Times New Roman"/>
          <w:sz w:val="24"/>
        </w:rPr>
      </w:pPr>
      <w:r>
        <w:rPr>
          <w:rFonts w:cs="Times New Roman" w:ascii="Times New Roman" w:hAnsi="Times New Roman"/>
          <w:sz w:val="24"/>
        </w:rPr>
        <w:t xml:space="preserve">develop and implement volumetric rates for Northern.  </w:t>
      </w:r>
      <w:r>
        <w:rPr>
          <w:rFonts w:cs="Times New Roman" w:ascii="Times New Roman" w:hAnsi="Times New Roman"/>
          <w:b/>
          <w:sz w:val="24"/>
        </w:rPr>
        <w:t>Status:  FERC approved the VFT proposal in November and Northern Natural’s marketing  group is working to develop interest in the new service.</w:t>
      </w:r>
    </w:p>
    <w:p>
      <w:pPr>
        <w:pStyle w:val="Body"/>
        <w:numPr>
          <w:ilvl w:val="0"/>
          <w:numId w:val="2"/>
        </w:numPr>
        <w:jc w:val="both"/>
        <w:rPr>
          <w:rFonts w:ascii="Times New Roman" w:hAnsi="Times New Roman" w:cs="Times New Roman"/>
          <w:sz w:val="24"/>
        </w:rPr>
      </w:pPr>
      <w:r>
        <w:rPr>
          <w:rFonts w:cs="Times New Roman" w:ascii="Times New Roman" w:hAnsi="Times New Roman"/>
          <w:sz w:val="24"/>
        </w:rPr>
        <w:t xml:space="preserve">implement hourly firm transportation service or analogous service on Northern and Transwestern.  </w:t>
      </w:r>
      <w:r>
        <w:rPr>
          <w:rFonts w:cs="Times New Roman" w:ascii="Times New Roman" w:hAnsi="Times New Roman"/>
          <w:b/>
          <w:sz w:val="24"/>
        </w:rPr>
        <w:t>Status: Significant modifications to Northern’s and Transwestern’s services designed to, among other things, serve power generation markets, have been developed and filed with FERC as part of Northern’s and Transwestern’s Order 637 filings.</w:t>
      </w:r>
    </w:p>
    <w:p>
      <w:pPr>
        <w:pStyle w:val="Body"/>
        <w:numPr>
          <w:ilvl w:val="0"/>
          <w:numId w:val="2"/>
        </w:numPr>
        <w:jc w:val="both"/>
        <w:rPr>
          <w:rFonts w:ascii="Times New Roman" w:hAnsi="Times New Roman" w:cs="Times New Roman"/>
          <w:sz w:val="24"/>
        </w:rPr>
      </w:pPr>
      <w:r>
        <w:rPr>
          <w:rFonts w:cs="Times New Roman" w:ascii="Times New Roman" w:hAnsi="Times New Roman"/>
          <w:sz w:val="24"/>
        </w:rPr>
        <w:t xml:space="preserve">provide legal support and analysis to receive regulatory approval of Transwestern’s enhanced firm backhaul service.  </w:t>
      </w:r>
      <w:r>
        <w:rPr>
          <w:rFonts w:cs="Times New Roman" w:ascii="Times New Roman" w:hAnsi="Times New Roman"/>
          <w:b/>
          <w:sz w:val="24"/>
        </w:rPr>
        <w:t>Status:  Filing completed and approved by FERC.</w:t>
      </w:r>
    </w:p>
    <w:p>
      <w:pPr>
        <w:pStyle w:val="Body"/>
        <w:numPr>
          <w:ilvl w:val="0"/>
          <w:numId w:val="2"/>
        </w:numPr>
        <w:jc w:val="both"/>
        <w:rPr>
          <w:rFonts w:ascii="Times New Roman" w:hAnsi="Times New Roman" w:cs="Times New Roman"/>
          <w:sz w:val="24"/>
        </w:rPr>
      </w:pPr>
      <w:r>
        <w:rPr>
          <w:rFonts w:cs="Times New Roman" w:ascii="Times New Roman" w:hAnsi="Times New Roman"/>
          <w:sz w:val="24"/>
        </w:rPr>
        <w:t xml:space="preserve">provide legal support and analysis to receive regulatory approval of Transwestern’s Gallup expansion.  </w:t>
      </w:r>
      <w:r>
        <w:rPr>
          <w:rFonts w:cs="Times New Roman" w:ascii="Times New Roman" w:hAnsi="Times New Roman"/>
          <w:b/>
          <w:sz w:val="24"/>
        </w:rPr>
        <w:t>Status:  Complete.  ET&amp;S law participated heavily in obtaining regulatory approvals and in structuring the ECS financing.</w:t>
      </w:r>
    </w:p>
    <w:p>
      <w:pPr>
        <w:pStyle w:val="Body"/>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 xml:space="preserve">Assist Marketing group with regulatory and legal issues relating to new strategy for maximizing the value of MOPS.  </w:t>
      </w:r>
      <w:r>
        <w:rPr>
          <w:rFonts w:cs="Times New Roman" w:ascii="Times New Roman" w:hAnsi="Times New Roman"/>
          <w:b/>
          <w:sz w:val="24"/>
        </w:rPr>
        <w:t>Status:  MOPS sale has been moved to 1Q 2001.</w:t>
      </w:r>
    </w:p>
    <w:p>
      <w:pPr>
        <w:pStyle w:val="Body"/>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Assist in the development and closing of major financings, including:</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numPr>
          <w:ilvl w:val="0"/>
          <w:numId w:val="4"/>
        </w:numPr>
        <w:jc w:val="both"/>
        <w:rPr>
          <w:rFonts w:ascii="Times New Roman" w:hAnsi="Times New Roman" w:cs="Times New Roman"/>
          <w:sz w:val="24"/>
        </w:rPr>
      </w:pPr>
      <w:r>
        <w:rPr>
          <w:rFonts w:cs="Times New Roman" w:ascii="Times New Roman" w:hAnsi="Times New Roman"/>
          <w:sz w:val="24"/>
        </w:rPr>
        <w:t xml:space="preserve">monetization of Northern Natural base gas.  </w:t>
      </w:r>
      <w:r>
        <w:rPr>
          <w:rFonts w:cs="Times New Roman" w:ascii="Times New Roman" w:hAnsi="Times New Roman"/>
          <w:b/>
          <w:sz w:val="24"/>
        </w:rPr>
        <w:t>Status:  Successfully completed.</w:t>
      </w:r>
    </w:p>
    <w:p>
      <w:pPr>
        <w:pStyle w:val="Body"/>
        <w:numPr>
          <w:ilvl w:val="0"/>
          <w:numId w:val="4"/>
        </w:numPr>
        <w:jc w:val="both"/>
        <w:rPr>
          <w:rFonts w:ascii="Times New Roman" w:hAnsi="Times New Roman" w:cs="Times New Roman"/>
          <w:sz w:val="24"/>
        </w:rPr>
      </w:pPr>
      <w:r>
        <w:rPr>
          <w:rFonts w:cs="Times New Roman" w:ascii="Times New Roman" w:hAnsi="Times New Roman"/>
          <w:sz w:val="24"/>
        </w:rPr>
        <w:t xml:space="preserve">monetization of fuel gas associated with electric compression.  </w:t>
      </w:r>
      <w:r>
        <w:rPr>
          <w:rFonts w:cs="Times New Roman" w:ascii="Times New Roman" w:hAnsi="Times New Roman"/>
          <w:b/>
          <w:sz w:val="24"/>
        </w:rPr>
        <w:t>Status:  Hubbard financing successfully completed.</w:t>
      </w:r>
    </w:p>
    <w:p>
      <w:pPr>
        <w:pStyle w:val="Body"/>
        <w:numPr>
          <w:ilvl w:val="0"/>
          <w:numId w:val="4"/>
        </w:numPr>
        <w:jc w:val="both"/>
        <w:rPr>
          <w:rFonts w:ascii="Times New Roman" w:hAnsi="Times New Roman" w:cs="Times New Roman"/>
          <w:sz w:val="24"/>
        </w:rPr>
      </w:pPr>
      <w:r>
        <w:rPr>
          <w:rFonts w:cs="Times New Roman" w:ascii="Times New Roman" w:hAnsi="Times New Roman"/>
          <w:sz w:val="24"/>
        </w:rPr>
        <w:t xml:space="preserve">monetization of Transwestern compression.  </w:t>
      </w:r>
      <w:r>
        <w:rPr>
          <w:rFonts w:cs="Times New Roman" w:ascii="Times New Roman" w:hAnsi="Times New Roman"/>
          <w:b/>
          <w:sz w:val="24"/>
        </w:rPr>
        <w:t>Status:  Deferred.</w:t>
      </w:r>
    </w:p>
    <w:p>
      <w:pPr>
        <w:pStyle w:val="Body"/>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 xml:space="preserve">Assist in the development and implementation of Northern’s “South End Strategy,” including structuring of capacity sale and/or hedging transactions and abandonment of underutilized assets.  </w:t>
      </w:r>
      <w:r>
        <w:rPr>
          <w:rFonts w:cs="Times New Roman" w:ascii="Times New Roman" w:hAnsi="Times New Roman"/>
          <w:b/>
          <w:sz w:val="24"/>
        </w:rPr>
        <w:t>Status:  This effort is ongoing.  In 2000, the Law Group assisted in development and implementation of a strategy for placing select south end facilities in the “plant held for future use” account.  Significant savings of O&amp;M and depreciation were achieved in 2000 under this approach.</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Monitor and enforce regulatory and legal compliance, including marketing affiliate, GISB, contracting practices, and antitrust.  </w:t>
      </w:r>
      <w:r>
        <w:rPr>
          <w:rFonts w:cs="Times New Roman" w:ascii="Times New Roman" w:hAnsi="Times New Roman"/>
          <w:b/>
          <w:sz w:val="24"/>
        </w:rPr>
        <w:t xml:space="preserve">Status:  Ongoing.  We have assisted with the company’s response to two FTC investigations of competing pipelines, as well as successfully handling normal market affiliate, contracting practices, and antitrust compliance issues.  Of note, as mentioned above, the Law Group worked with Finance to develop a risk management policy applicable to the trading of derivatives. </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 xml:space="preserve">Support coordination of Enron pipeline companies in the development of FERC legal and regulatory policy, and the advocacy of those positions before the FERC, industry trade associations and financial analysts.  </w:t>
      </w:r>
      <w:r>
        <w:rPr>
          <w:rFonts w:cs="Times New Roman" w:ascii="Times New Roman" w:hAnsi="Times New Roman"/>
          <w:b/>
          <w:sz w:val="24"/>
        </w:rPr>
        <w:t xml:space="preserve">Status:  We assisted Dave Neubauer and Shelley Corman with development of numerous presentations to regulators. </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Manage and successfully resolve litigation including:</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numPr>
          <w:ilvl w:val="0"/>
          <w:numId w:val="6"/>
        </w:numPr>
        <w:jc w:val="both"/>
        <w:rPr>
          <w:rFonts w:ascii="Times New Roman" w:hAnsi="Times New Roman" w:cs="Times New Roman"/>
          <w:b/>
          <w:sz w:val="24"/>
        </w:rPr>
      </w:pPr>
      <w:r>
        <w:rPr>
          <w:rFonts w:cs="Times New Roman" w:ascii="Times New Roman" w:hAnsi="Times New Roman"/>
          <w:sz w:val="24"/>
        </w:rPr>
        <w:t xml:space="preserve">Conoco.  </w:t>
      </w:r>
      <w:r>
        <w:rPr>
          <w:rFonts w:cs="Times New Roman" w:ascii="Times New Roman" w:hAnsi="Times New Roman"/>
          <w:b/>
          <w:sz w:val="24"/>
        </w:rPr>
        <w:t xml:space="preserve">Status: Resolved.  This case was settled for the amount reserved, plus contribution of an asset with no market value and without any financial write-off to the Company.  </w:t>
      </w:r>
    </w:p>
    <w:p>
      <w:pPr>
        <w:pStyle w:val="Body"/>
        <w:numPr>
          <w:ilvl w:val="0"/>
          <w:numId w:val="6"/>
        </w:numPr>
        <w:jc w:val="both"/>
        <w:rPr>
          <w:rFonts w:ascii="Times New Roman" w:hAnsi="Times New Roman" w:cs="Times New Roman"/>
          <w:sz w:val="24"/>
        </w:rPr>
      </w:pPr>
      <w:r>
        <w:rPr>
          <w:rFonts w:cs="Times New Roman" w:ascii="Times New Roman" w:hAnsi="Times New Roman"/>
          <w:sz w:val="24"/>
        </w:rPr>
        <w:t xml:space="preserve">Grynberg.  </w:t>
      </w:r>
      <w:r>
        <w:rPr>
          <w:rFonts w:cs="Times New Roman" w:ascii="Times New Roman" w:hAnsi="Times New Roman"/>
          <w:b/>
          <w:sz w:val="24"/>
        </w:rPr>
        <w:t>Status:  This case is stalemated pending dispositive rulings from the Court, with no discovery allowed so far and minimal expenditure of legal fees.</w:t>
      </w:r>
    </w:p>
    <w:p>
      <w:pPr>
        <w:pStyle w:val="Body"/>
        <w:numPr>
          <w:ilvl w:val="0"/>
          <w:numId w:val="6"/>
        </w:numPr>
        <w:jc w:val="both"/>
        <w:rPr>
          <w:rFonts w:ascii="Times New Roman" w:hAnsi="Times New Roman" w:cs="Times New Roman"/>
          <w:sz w:val="24"/>
        </w:rPr>
      </w:pPr>
      <w:r>
        <w:rPr>
          <w:rFonts w:cs="Times New Roman" w:ascii="Times New Roman" w:hAnsi="Times New Roman"/>
          <w:sz w:val="24"/>
        </w:rPr>
        <w:t xml:space="preserve">Quinque.  </w:t>
      </w:r>
      <w:r>
        <w:rPr>
          <w:rFonts w:cs="Times New Roman" w:ascii="Times New Roman" w:hAnsi="Times New Roman"/>
          <w:b/>
          <w:sz w:val="24"/>
        </w:rPr>
        <w:t>Status:  This case is stalemated pending dispositive rulings from the Court, with no discovery allowed so far and minimal expenditure of legal fees.</w:t>
      </w:r>
    </w:p>
    <w:p>
      <w:pPr>
        <w:pStyle w:val="Body"/>
        <w:numPr>
          <w:ilvl w:val="0"/>
          <w:numId w:val="6"/>
        </w:numPr>
        <w:jc w:val="both"/>
        <w:rPr>
          <w:rFonts w:ascii="Times New Roman" w:hAnsi="Times New Roman" w:cs="Times New Roman"/>
          <w:sz w:val="24"/>
        </w:rPr>
      </w:pPr>
      <w:r>
        <w:rPr>
          <w:rFonts w:cs="Times New Roman" w:ascii="Times New Roman" w:hAnsi="Times New Roman"/>
          <w:sz w:val="24"/>
        </w:rPr>
        <w:t xml:space="preserve">Kimball bankruptcy.  </w:t>
      </w:r>
      <w:r>
        <w:rPr>
          <w:rFonts w:cs="Times New Roman" w:ascii="Times New Roman" w:hAnsi="Times New Roman"/>
          <w:b/>
          <w:sz w:val="24"/>
        </w:rPr>
        <w:t>Status:  Most issues have been favorably settled.</w:t>
      </w:r>
    </w:p>
    <w:p>
      <w:pPr>
        <w:pStyle w:val="Body"/>
        <w:numPr>
          <w:ilvl w:val="0"/>
          <w:numId w:val="6"/>
        </w:numPr>
        <w:jc w:val="both"/>
        <w:rPr>
          <w:rFonts w:ascii="Times New Roman" w:hAnsi="Times New Roman" w:cs="Times New Roman"/>
          <w:sz w:val="24"/>
        </w:rPr>
      </w:pPr>
      <w:r>
        <w:rPr>
          <w:rFonts w:cs="Times New Roman" w:ascii="Times New Roman" w:hAnsi="Times New Roman"/>
          <w:sz w:val="24"/>
        </w:rPr>
        <w:t>Coyonosa.</w:t>
      </w:r>
      <w:r>
        <w:rPr>
          <w:rFonts w:cs="Times New Roman" w:ascii="Times New Roman" w:hAnsi="Times New Roman"/>
          <w:b/>
          <w:sz w:val="24"/>
        </w:rPr>
        <w:t xml:space="preserve">  Status:  This case is stalemated in the courts with minimal expenditure of legal fees and settlement discussions are teed up to begin within the month.</w:t>
      </w:r>
    </w:p>
    <w:p>
      <w:pPr>
        <w:pStyle w:val="Body"/>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 xml:space="preserve">Implement strategy for obtaining Transwestern’s necessary right-of-ways, including project expansions.  </w:t>
      </w:r>
      <w:r>
        <w:rPr>
          <w:rFonts w:cs="Times New Roman" w:ascii="Times New Roman" w:hAnsi="Times New Roman"/>
          <w:b/>
          <w:sz w:val="24"/>
        </w:rPr>
        <w:t>Status:  Ongoing.</w:t>
      </w:r>
    </w:p>
    <w:p>
      <w:pPr>
        <w:pStyle w:val="Body"/>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sz w:val="24"/>
        </w:rPr>
      </w:pPr>
      <w:r>
        <w:rPr>
          <w:rFonts w:cs="Times New Roman" w:ascii="Times New Roman" w:hAnsi="Times New Roman"/>
          <w:sz w:val="24"/>
        </w:rPr>
        <w:t xml:space="preserve">Assist ET&amp;S commercial teams and GPG Business Development Group (John Goodpasture) with asset acquisition and divestiture efforts, including due diligence.  </w:t>
      </w:r>
      <w:r>
        <w:rPr>
          <w:rFonts w:cs="Times New Roman" w:ascii="Times New Roman" w:hAnsi="Times New Roman"/>
          <w:b/>
          <w:sz w:val="24"/>
        </w:rPr>
        <w:t>Status:  We have assisted with a number of due diligence efforts and with developing purchase and/or sale documentation for proposed transactions.  Major projects have included providing legal advice to Mike McGowan’s team on various Trailblazer expansion/extension projects and coordinating Llano due diligence effort with John Goodpasture.</w:t>
      </w:r>
    </w:p>
    <w:p>
      <w:pPr>
        <w:pStyle w:val="Body"/>
        <w:ind w:start="0" w:end="0"/>
        <w:jc w:val="both"/>
        <w:rPr>
          <w:rFonts w:ascii="Times New Roman" w:hAnsi="Times New Roman" w:cs="Times New Roman"/>
          <w:sz w:val="24"/>
        </w:rPr>
      </w:pPr>
      <w:r>
        <w:rPr>
          <w:rFonts w:cs="Times New Roman" w:ascii="Times New Roman" w:hAnsi="Times New Roman"/>
          <w:sz w:val="24"/>
        </w:rPr>
      </w:r>
    </w:p>
    <w:p>
      <w:pPr>
        <w:pStyle w:val="Body"/>
        <w:numPr>
          <w:ilvl w:val="0"/>
          <w:numId w:val="5"/>
        </w:numPr>
        <w:jc w:val="both"/>
        <w:rPr>
          <w:rFonts w:ascii="Times New Roman" w:hAnsi="Times New Roman" w:cs="Times New Roman"/>
          <w:b/>
          <w:sz w:val="24"/>
        </w:rPr>
      </w:pPr>
      <w:r>
        <w:rPr>
          <w:rFonts w:cs="Times New Roman" w:ascii="Times New Roman" w:hAnsi="Times New Roman"/>
          <w:b/>
          <w:sz w:val="24"/>
        </w:rPr>
        <w:t>New matters not described by January Objectives:</w:t>
      </w:r>
    </w:p>
    <w:p>
      <w:pPr>
        <w:pStyle w:val="Body"/>
        <w:ind w:start="0" w:end="0"/>
        <w:jc w:val="both"/>
        <w:rPr>
          <w:rFonts w:ascii="Times New Roman" w:hAnsi="Times New Roman" w:cs="Times New Roman"/>
          <w:b/>
          <w:sz w:val="24"/>
        </w:rPr>
      </w:pPr>
      <w:r>
        <w:rPr>
          <w:rFonts w:cs="Times New Roman" w:ascii="Times New Roman" w:hAnsi="Times New Roman"/>
          <w:b/>
          <w:sz w:val="24"/>
        </w:rPr>
      </w:r>
    </w:p>
    <w:p>
      <w:pPr>
        <w:pStyle w:val="Body"/>
        <w:numPr>
          <w:ilvl w:val="0"/>
          <w:numId w:val="3"/>
        </w:numPr>
        <w:jc w:val="both"/>
        <w:rPr>
          <w:rFonts w:ascii="Times New Roman" w:hAnsi="Times New Roman" w:cs="Times New Roman"/>
          <w:b/>
          <w:sz w:val="24"/>
        </w:rPr>
      </w:pPr>
      <w:r>
        <w:rPr>
          <w:rFonts w:cs="Times New Roman" w:ascii="Times New Roman" w:hAnsi="Times New Roman"/>
          <w:b/>
          <w:sz w:val="24"/>
        </w:rPr>
        <w:t>Analyzed legal options for addressing Transwestern PCB issue at Topock and advised Transwestern and ETS management on strategy.</w:t>
      </w:r>
    </w:p>
    <w:p>
      <w:pPr>
        <w:pStyle w:val="Body"/>
        <w:numPr>
          <w:ilvl w:val="0"/>
          <w:numId w:val="3"/>
        </w:numPr>
        <w:jc w:val="both"/>
        <w:rPr>
          <w:rFonts w:ascii="Times New Roman" w:hAnsi="Times New Roman" w:cs="Times New Roman"/>
          <w:b/>
          <w:sz w:val="24"/>
        </w:rPr>
      </w:pPr>
      <w:r>
        <w:rPr>
          <w:rFonts w:cs="Times New Roman" w:ascii="Times New Roman" w:hAnsi="Times New Roman"/>
          <w:b/>
          <w:sz w:val="24"/>
        </w:rPr>
        <w:t>Assisted in development and filing of Tranwestern’s proposed program for trading capacity options.</w:t>
      </w:r>
    </w:p>
    <w:p>
      <w:pPr>
        <w:pStyle w:val="Body"/>
        <w:numPr>
          <w:ilvl w:val="0"/>
          <w:numId w:val="3"/>
        </w:numPr>
        <w:jc w:val="both"/>
        <w:rPr>
          <w:rFonts w:ascii="Times New Roman" w:hAnsi="Times New Roman" w:cs="Times New Roman"/>
          <w:b/>
          <w:sz w:val="24"/>
        </w:rPr>
      </w:pPr>
      <w:r>
        <w:rPr>
          <w:rFonts w:cs="Times New Roman" w:ascii="Times New Roman" w:hAnsi="Times New Roman"/>
          <w:b/>
          <w:sz w:val="24"/>
        </w:rPr>
        <w:t>Assisted Transwestern commercial team in evaluation of proposed Pueblo power plant/pipeline project.</w:t>
      </w:r>
    </w:p>
    <w:p>
      <w:pPr>
        <w:pStyle w:val="Body"/>
        <w:numPr>
          <w:ilvl w:val="0"/>
          <w:numId w:val="3"/>
        </w:numPr>
        <w:jc w:val="both"/>
        <w:rPr>
          <w:rFonts w:ascii="Times New Roman" w:hAnsi="Times New Roman" w:cs="Times New Roman"/>
          <w:b/>
          <w:sz w:val="24"/>
        </w:rPr>
      </w:pPr>
      <w:r>
        <w:rPr>
          <w:rFonts w:cs="Times New Roman" w:ascii="Times New Roman" w:hAnsi="Times New Roman"/>
          <w:b/>
          <w:sz w:val="24"/>
        </w:rPr>
        <w:t>Provided advice to Northern and Tranwestern commercial teams on regulation of electric power markets with regard to potential new power plant projects.</w:t>
      </w:r>
    </w:p>
    <w:p>
      <w:pPr>
        <w:pStyle w:val="Body"/>
        <w:numPr>
          <w:ilvl w:val="0"/>
          <w:numId w:val="3"/>
        </w:numPr>
        <w:jc w:val="both"/>
        <w:rPr>
          <w:rFonts w:ascii="Times New Roman" w:hAnsi="Times New Roman" w:cs="Times New Roman"/>
          <w:b/>
          <w:sz w:val="24"/>
        </w:rPr>
      </w:pPr>
      <w:r>
        <w:rPr>
          <w:rFonts w:cs="Times New Roman" w:ascii="Times New Roman" w:hAnsi="Times New Roman"/>
          <w:b/>
          <w:sz w:val="24"/>
        </w:rPr>
        <w:t>Assisted Transwestern and Northern commercial, IT and Market Services teams in selling capacity on Enron Online.  Analyzed potential “second generation” ecommerce strategy involving multilateral transactions in pipeline capacity and released capacity.</w:t>
      </w:r>
    </w:p>
    <w:p>
      <w:pPr>
        <w:pStyle w:val="Body"/>
        <w:numPr>
          <w:ilvl w:val="0"/>
          <w:numId w:val="3"/>
        </w:numPr>
        <w:jc w:val="both"/>
        <w:rPr>
          <w:rFonts w:ascii="Times New Roman" w:hAnsi="Times New Roman" w:cs="Times New Roman"/>
          <w:b/>
          <w:sz w:val="24"/>
        </w:rPr>
      </w:pPr>
      <w:r>
        <w:rPr>
          <w:rFonts w:cs="Times New Roman" w:ascii="Times New Roman" w:hAnsi="Times New Roman"/>
          <w:b/>
          <w:sz w:val="24"/>
        </w:rPr>
        <w:t xml:space="preserve">Assisted Transwestern commercial team in developing strategies for capturing full value of rate opportunities on transportation to the California border.   </w:t>
      </w:r>
    </w:p>
    <w:p>
      <w:pPr>
        <w:pStyle w:val="Body"/>
        <w:numPr>
          <w:ilvl w:val="0"/>
          <w:numId w:val="3"/>
        </w:numPr>
        <w:jc w:val="both"/>
        <w:rPr>
          <w:rFonts w:ascii="Times New Roman" w:hAnsi="Times New Roman" w:cs="Times New Roman"/>
          <w:b/>
          <w:sz w:val="24"/>
        </w:rPr>
      </w:pPr>
      <w:r>
        <w:rPr>
          <w:rFonts w:cs="Times New Roman" w:ascii="Times New Roman" w:hAnsi="Times New Roman"/>
          <w:b/>
          <w:sz w:val="24"/>
        </w:rPr>
        <w:t xml:space="preserve">Assisted Regulatory, Operations, and Market Services teams on resolving disputes with OneOk and Kinder Morgan arising out of the Bushton Plant. </w:t>
      </w:r>
      <w:r>
        <w:br w:type="page"/>
      </w:r>
    </w:p>
    <w:p>
      <w:pPr>
        <w:pStyle w:val="Body"/>
        <w:jc w:val="both"/>
        <w:rPr>
          <w:rFonts w:ascii="Times New Roman" w:hAnsi="Times New Roman" w:cs="Times New Roman"/>
          <w:sz w:val="24"/>
        </w:rPr>
      </w:pPr>
      <w:r>
        <w:rPr>
          <w:rFonts w:cs="Times New Roman" w:ascii="Times New Roman" w:hAnsi="Times New Roman"/>
          <w:sz w:val="24"/>
        </w:rPr>
        <w:t>cc:</w:t>
        <w:tab/>
        <w:t>Dari Dornan</w:t>
      </w:r>
    </w:p>
    <w:p>
      <w:pPr>
        <w:pStyle w:val="Body"/>
        <w:ind w:firstLine="648" w:end="0"/>
        <w:jc w:val="both"/>
        <w:rPr>
          <w:rFonts w:ascii="Times New Roman" w:hAnsi="Times New Roman" w:cs="Times New Roman"/>
          <w:sz w:val="24"/>
        </w:rPr>
      </w:pPr>
      <w:r>
        <w:rPr>
          <w:rFonts w:cs="Times New Roman" w:ascii="Times New Roman" w:hAnsi="Times New Roman"/>
          <w:sz w:val="24"/>
        </w:rPr>
        <w:t>Lee Huber</w:t>
      </w:r>
    </w:p>
    <w:p>
      <w:pPr>
        <w:pStyle w:val="Body"/>
        <w:ind w:firstLine="648" w:end="0"/>
        <w:jc w:val="both"/>
        <w:rPr>
          <w:rFonts w:ascii="Times New Roman" w:hAnsi="Times New Roman" w:cs="Times New Roman"/>
          <w:sz w:val="24"/>
        </w:rPr>
      </w:pPr>
      <w:r>
        <w:rPr>
          <w:rFonts w:cs="Times New Roman" w:ascii="Times New Roman" w:hAnsi="Times New Roman"/>
          <w:sz w:val="24"/>
        </w:rPr>
        <w:t>Maria Pavlou</w:t>
      </w:r>
    </w:p>
    <w:p>
      <w:pPr>
        <w:pStyle w:val="Body"/>
        <w:ind w:start="720" w:end="0"/>
        <w:jc w:val="both"/>
        <w:rPr>
          <w:rFonts w:ascii="Times New Roman" w:hAnsi="Times New Roman" w:cs="Times New Roman"/>
          <w:sz w:val="24"/>
        </w:rPr>
      </w:pPr>
      <w:r>
        <w:rPr>
          <w:rFonts w:cs="Times New Roman" w:ascii="Times New Roman" w:hAnsi="Times New Roman"/>
          <w:sz w:val="24"/>
        </w:rPr>
        <w:t>Tony Pryor</w:t>
      </w:r>
    </w:p>
    <w:p>
      <w:pPr>
        <w:pStyle w:val="Body"/>
        <w:ind w:start="720" w:end="0"/>
        <w:jc w:val="both"/>
        <w:rPr>
          <w:rFonts w:ascii="Times New Roman" w:hAnsi="Times New Roman" w:cs="Times New Roman"/>
          <w:sz w:val="24"/>
        </w:rPr>
      </w:pPr>
      <w:r>
        <w:rPr>
          <w:rFonts w:cs="Times New Roman" w:ascii="Times New Roman" w:hAnsi="Times New Roman"/>
          <w:sz w:val="24"/>
        </w:rPr>
        <w:t>Jim Talcott</w:t>
      </w:r>
    </w:p>
    <w:p>
      <w:pPr>
        <w:pStyle w:val="Body"/>
        <w:ind w:start="720" w:end="0"/>
        <w:jc w:val="both"/>
        <w:rPr>
          <w:rFonts w:ascii="Times New Roman" w:hAnsi="Times New Roman" w:cs="Times New Roman"/>
          <w:sz w:val="24"/>
        </w:rPr>
      </w:pPr>
      <w:r>
        <w:rPr>
          <w:rFonts w:cs="Times New Roman" w:ascii="Times New Roman" w:hAnsi="Times New Roman"/>
          <w:sz w:val="24"/>
        </w:rPr>
        <w:t>Susan Scott</w:t>
      </w:r>
    </w:p>
    <w:p>
      <w:pPr>
        <w:pStyle w:val="Body"/>
        <w:jc w:val="both"/>
        <w:rPr>
          <w:rFonts w:ascii="Times New Roman" w:hAnsi="Times New Roman" w:cs="Times New Roman"/>
          <w:sz w:val="24"/>
        </w:rPr>
      </w:pPr>
      <w:r>
        <w:rPr>
          <w:rFonts w:cs="Times New Roman" w:ascii="Times New Roman" w:hAnsi="Times New Roman"/>
          <w:sz w:val="24"/>
        </w:rPr>
        <w:tab/>
        <w:t>Kathy Ringblom</w:t>
      </w:r>
    </w:p>
    <w:p>
      <w:pPr>
        <w:pStyle w:val="Body"/>
        <w:jc w:val="both"/>
        <w:rPr>
          <w:rFonts w:ascii="Times New Roman" w:hAnsi="Times New Roman" w:cs="Times New Roman"/>
          <w:sz w:val="24"/>
        </w:rPr>
      </w:pPr>
      <w:r>
        <w:rPr>
          <w:rFonts w:cs="Times New Roman" w:ascii="Times New Roman" w:hAnsi="Times New Roman"/>
          <w:sz w:val="24"/>
        </w:rPr>
        <w:tab/>
      </w:r>
    </w:p>
    <w:p>
      <w:pPr>
        <w:pStyle w:val="Body"/>
        <w:jc w:val="both"/>
        <w:rPr>
          <w:rFonts w:ascii="Times New Roman" w:hAnsi="Times New Roman" w:cs="Times New Roman"/>
          <w:sz w:val="24"/>
        </w:rPr>
      </w:pPr>
      <w:r>
        <w:rPr>
          <w:rFonts w:cs="Times New Roman" w:ascii="Times New Roman" w:hAnsi="Times New Roman"/>
          <w:sz w:val="24"/>
        </w:rPr>
      </w:r>
    </w:p>
    <w:p>
      <w:pPr>
        <w:pStyle w:val="Body"/>
        <w:jc w:val="both"/>
        <w:rPr>
          <w:rFonts w:ascii="Times New Roman" w:hAnsi="Times New Roman" w:cs="Times New Roman"/>
          <w:sz w:val="24"/>
        </w:rPr>
      </w:pPr>
      <w:r>
        <w:rPr>
          <w:rFonts w:cs="Times New Roman" w:ascii="Times New Roman" w:hAnsi="Times New Roman"/>
          <w:sz w:val="24"/>
        </w:rPr>
      </w:r>
    </w:p>
    <w:p>
      <w:pPr>
        <w:pStyle w:val="Body"/>
        <w:jc w:val="both"/>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2240" w:h="15840"/>
      <w:pgMar w:left="1440" w:right="1440" w:gutter="0" w:header="1440" w:top="1496"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C:djf\report to Bill Cordes Status of 2000 Obj.doc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rFonts w:ascii="Times New Roman" w:hAnsi="Times New Roman" w:cs="Times New Roman"/>
        <w:sz w:val="16"/>
      </w:rPr>
    </w:pPr>
    <w:r>
      <w:rPr>
        <w:rFonts w:cs="Times New Roman" w:ascii="Times New Roman" w:hAnsi="Times New Roman"/>
        <w:sz w:val="16"/>
      </w:rPr>
      <w:t>C:djf\report to Bill Cordes Status of 2000 Obj.doc</w:t>
    </w:r>
  </w:p>
  <w:p>
    <w:pPr>
      <w:pStyle w:val="Footer"/>
      <w:tabs>
        <w:tab w:val="clear" w:pos="4320"/>
        <w:tab w:val="left" w:pos="3780" w:leader="none"/>
        <w:tab w:val="center" w:pos="7560" w:leader="none"/>
        <w:tab w:val="right" w:pos="8640" w:leader="none"/>
        <w:tab w:val="right" w:pos="10800" w:leader="none"/>
      </w:tabs>
      <w:rPr>
        <w:rFonts w:ascii="Times New Roman" w:hAnsi="Times New Roman" w:cs="Times New Roman"/>
        <w:sz w:val="8"/>
      </w:rPr>
    </w:pPr>
    <w:r>
      <w:rPr>
        <w:rFonts w:cs="Times New Roman" w:ascii="Times New Roman" w:hAnsi="Times New Roman"/>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Bill Cordes</w:t>
    </w:r>
  </w:p>
  <w:p>
    <w:pPr>
      <w:pStyle w:val="Header"/>
      <w:rPr>
        <w:sz w:val="20"/>
      </w:rPr>
    </w:pPr>
    <w:r>
      <w:rPr>
        <w:sz w:val="20"/>
      </w:rPr>
      <w:t>July 13, 2000</w:t>
    </w:r>
  </w:p>
  <w:p>
    <w:pPr>
      <w:pStyle w:val="Header"/>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rFonts w:ascii="Times New Roman" w:hAnsi="Times New Roman" w:cs="Times New Roman"/>
                              <w:b/>
                              <w:sz w:val="32"/>
                            </w:rPr>
                          </w:pPr>
                          <w:r>
                            <w:rPr>
                              <w:rFonts w:cs="Times New Roman" w:ascii="Times New Roman" w:hAnsi="Times New Roman"/>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rFonts w:ascii="Times New Roman" w:hAnsi="Times New Roman" w:cs="Times New Roman"/>
                        <w:b/>
                        <w:sz w:val="32"/>
                      </w:rPr>
                    </w:pPr>
                    <w:r>
                      <w:rPr>
                        <w:rFonts w:cs="Times New Roman" w:ascii="Times New Roman" w:hAnsi="Times New Roman"/>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37"/>
        </w:tabs>
        <w:ind w:start="1437" w:hanging="720"/>
      </w:pPr>
      <w:rPr/>
    </w:lvl>
  </w:abstractNum>
  <w:abstractNum w:abstractNumId="3">
    <w:lvl w:ilvl="0">
      <w:start w:val="1"/>
      <w:numFmt w:val="lowerLetter"/>
      <w:lvlText w:val="%1)"/>
      <w:lvlJc w:val="start"/>
      <w:pPr>
        <w:tabs>
          <w:tab w:val="num" w:pos="1437"/>
        </w:tabs>
        <w:ind w:start="1437" w:hanging="720"/>
      </w:pPr>
      <w:rPr/>
    </w:lvl>
  </w:abstractNum>
  <w:abstractNum w:abstractNumId="4">
    <w:lvl w:ilvl="0">
      <w:start w:val="1"/>
      <w:numFmt w:val="lowerLetter"/>
      <w:lvlText w:val="%1)"/>
      <w:lvlJc w:val="start"/>
      <w:pPr>
        <w:tabs>
          <w:tab w:val="num" w:pos="1437"/>
        </w:tabs>
        <w:ind w:start="1437" w:hanging="720"/>
      </w:pPr>
      <w:rPr/>
    </w:lvl>
  </w:abstractNum>
  <w:abstractNum w:abstractNumId="5">
    <w:lvl w:ilvl="0">
      <w:start w:val="1"/>
      <w:numFmt w:val="decimal"/>
      <w:lvlText w:val="%1."/>
      <w:lvlJc w:val="start"/>
      <w:pPr>
        <w:tabs>
          <w:tab w:val="num" w:pos="717"/>
        </w:tabs>
        <w:ind w:start="717" w:hanging="645"/>
      </w:pPr>
      <w:rPr/>
    </w:lvl>
  </w:abstractNum>
  <w:abstractNum w:abstractNumId="6">
    <w:lvl w:ilvl="0">
      <w:start w:val="1"/>
      <w:numFmt w:val="lowerLetter"/>
      <w:lvlText w:val="%1)"/>
      <w:lvlJc w:val="start"/>
      <w:pPr>
        <w:tabs>
          <w:tab w:val="num" w:pos="1437"/>
        </w:tabs>
        <w:ind w:start="1437"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6"/>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2000-12-05T18:57:00Z</dcterms:created>
  <dc:creator>EES User</dc:creator>
  <dc:description/>
  <dc:language>en-CA</dc:language>
  <cp:lastModifiedBy>Enron</cp:lastModifiedBy>
  <cp:lastPrinted>2000-07-14T13:32:00Z</cp:lastPrinted>
  <dcterms:modified xsi:type="dcterms:W3CDTF">2000-12-05T18:57:00Z</dcterms:modified>
  <cp:revision>2</cp:revision>
  <dc:subject/>
  <dc:title> </dc:title>
</cp:coreProperties>
</file>