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rPr>
      </w:pPr>
      <w:r>
        <w:rPr>
          <w:b/>
        </w:rPr>
        <w:t>DRAFT</w:t>
      </w:r>
    </w:p>
    <w:p>
      <w:pPr>
        <w:pStyle w:val="Normal"/>
        <w:jc w:val="end"/>
        <w:rPr>
          <w:b/>
        </w:rPr>
      </w:pPr>
      <w:r>
        <w:rPr>
          <w:b/>
        </w:rPr>
        <w:t>PRIVILEGED AN CONFIDENTIAL</w:t>
      </w:r>
    </w:p>
    <w:p>
      <w:pPr>
        <w:pStyle w:val="Normal"/>
        <w:jc w:val="end"/>
        <w:rPr>
          <w:b/>
        </w:rPr>
      </w:pPr>
      <w:r>
        <w:rPr>
          <w:b/>
        </w:rPr>
        <w:t>ATTORNEY WORK PRODUCT</w:t>
      </w:r>
    </w:p>
    <w:p>
      <w:pPr>
        <w:pStyle w:val="Normal"/>
        <w:jc w:val="end"/>
        <w:rPr>
          <w:b/>
        </w:rPr>
      </w:pPr>
      <w:r>
        <w:rPr>
          <w:b/>
        </w:rPr>
        <w:tab/>
      </w:r>
    </w:p>
    <w:p>
      <w:pPr>
        <w:pStyle w:val="Normal"/>
        <w:rPr>
          <w:b/>
        </w:rPr>
      </w:pPr>
      <w:r>
        <w:rPr>
          <w:b/>
        </w:rPr>
      </w:r>
    </w:p>
    <w:p>
      <w:pPr>
        <w:pStyle w:val="Normal"/>
        <w:rPr>
          <w:b/>
        </w:rPr>
      </w:pPr>
      <w:r>
        <w:rPr>
          <w:b/>
        </w:rPr>
      </w:r>
    </w:p>
    <w:p>
      <w:pPr>
        <w:pStyle w:val="Normal"/>
        <w:rPr>
          <w:b/>
        </w:rPr>
      </w:pPr>
      <w:r>
        <w:rPr>
          <w:b/>
        </w:rPr>
        <w:t>III.</w:t>
        <w:tab/>
        <w:t>Potential Approaches for Dealing with Affiliates</w:t>
      </w:r>
    </w:p>
    <w:p>
      <w:pPr>
        <w:pStyle w:val="Normal"/>
        <w:spacing w:lineRule="atLeast" w:line="480"/>
        <w:jc w:val="both"/>
        <w:rPr/>
      </w:pPr>
      <w:r>
        <w:rPr/>
        <w:tab/>
        <w:t>The Commission requested in its Notice for Staff Conference that parties address “whether there may be better methods of regulating affiliate transactions that should be used in lieu of the current standards of conduct and reporting requirements.”</w:t>
      </w:r>
      <w:r>
        <w:rPr>
          <w:rStyle w:val="FootnoteCharacters"/>
          <w:rStyle w:val="FootnoteReference"/>
        </w:rPr>
        <w:footnoteReference w:id="2"/>
      </w:r>
      <w:r>
        <w:rPr/>
        <w:t xml:space="preserve">  INGAA believes that the Commission should not adopt more stringent requirements to be applicable to marketing affiliates of interstate pipelines.  The current standards of conduct and reporting requirements are more than adequate to monitor affiliate transactions.  Additional regulatory restrictions of the sort mentioned in the Notice are not only unnecessary, but would be harmful to the entire natural gas industry.</w:t>
      </w:r>
    </w:p>
    <w:p>
      <w:pPr>
        <w:pStyle w:val="Normal"/>
        <w:spacing w:lineRule="atLeast" w:line="480"/>
        <w:ind w:firstLine="720" w:end="0"/>
        <w:jc w:val="both"/>
        <w:rPr/>
      </w:pPr>
      <w:r>
        <w:rPr/>
        <w:t>Both this Commission and the Department of Justice have previously recognized that the over-regulation of affiliate relationships can be economically harmful and anticompetitive.  Prior to considering any changes to the current affiliate regulatory scheme, the FERC must be presented with specific complaints which warrant additional regulation.  Additionally, the FERC must determine that regulation will necessarily increase economic efficiency and be pro-competitive.</w:t>
      </w:r>
    </w:p>
    <w:p>
      <w:pPr>
        <w:pStyle w:val="Normal"/>
        <w:spacing w:lineRule="atLeast" w:line="480"/>
        <w:ind w:firstLine="720" w:end="0"/>
        <w:jc w:val="both"/>
        <w:rPr/>
      </w:pPr>
      <w:r>
        <w:rPr/>
        <w:t>This Commission has adopted the “least competitively restrictive alternative” standard to assess whether affiliate regulations are necessary and appropriate.</w:t>
      </w:r>
      <w:r>
        <w:rPr>
          <w:rStyle w:val="FootnoteCharacters"/>
          <w:rStyle w:val="FootnoteReference"/>
        </w:rPr>
        <w:footnoteReference w:id="3"/>
      </w:r>
      <w:r>
        <w:rPr/>
        <w:t xml:space="preserve">  As the Commission has previously said:</w:t>
      </w:r>
    </w:p>
    <w:p>
      <w:pPr>
        <w:pStyle w:val="Normal"/>
        <w:ind w:start="720" w:end="0"/>
        <w:jc w:val="both"/>
        <w:rPr/>
      </w:pPr>
      <w:r>
        <w:rPr/>
      </w:r>
    </w:p>
    <w:p>
      <w:pPr>
        <w:pStyle w:val="Normal"/>
        <w:ind w:start="720" w:end="720"/>
        <w:jc w:val="both"/>
        <w:rPr/>
      </w:pPr>
      <w:r>
        <w:rPr/>
        <w:t>Pipeline marketing affiliates should be able to compete in the market on the same terms as non-affiliates to the maximum extent possible.</w:t>
      </w:r>
      <w:r>
        <w:rPr>
          <w:rStyle w:val="FootnoteCharacters"/>
          <w:rStyle w:val="FootnoteReference"/>
        </w:rPr>
        <w:footnoteReference w:id="4"/>
      </w:r>
    </w:p>
    <w:p>
      <w:pPr>
        <w:pStyle w:val="Normal"/>
        <w:ind w:start="720" w:end="0"/>
        <w:jc w:val="both"/>
        <w:rPr/>
      </w:pPr>
      <w:r>
        <w:rPr/>
      </w:r>
    </w:p>
    <w:p>
      <w:pPr>
        <w:pStyle w:val="Normal"/>
        <w:spacing w:lineRule="auto" w:line="480"/>
        <w:jc w:val="both"/>
        <w:rPr/>
      </w:pPr>
      <w:r>
        <w:rPr/>
        <w:t>The Commission should continue to employ these guiding principles as it considers whether to adopt new affiliate regulations.</w:t>
      </w:r>
    </w:p>
    <w:p>
      <w:pPr>
        <w:pStyle w:val="Normal"/>
        <w:spacing w:lineRule="auto" w:line="480"/>
        <w:ind w:firstLine="720" w:end="0"/>
        <w:jc w:val="both"/>
        <w:rPr/>
      </w:pPr>
      <w:r>
        <w:rPr/>
        <w:t>The United States Department of Justice in its comments in Docket No. RM87</w:t>
        <w:noBreakHyphen/>
        <w:t>5</w:t>
        <w:noBreakHyphen/>
        <w:t>000 warned against over regulation of affiliate relationships.</w:t>
      </w:r>
      <w:r>
        <w:rPr>
          <w:rStyle w:val="FootnoteCharacters"/>
          <w:rStyle w:val="FootnoteReference"/>
        </w:rPr>
        <w:footnoteReference w:id="5"/>
      </w:r>
      <w:r>
        <w:rPr/>
        <w:t xml:space="preserve">  In the words of the Department of Justice, over regulation will deter shippers from “expending resources to develop innovative and possibly efficient transactions . . . .</w:t>
      </w:r>
      <w:r>
        <w:rPr>
          <w:rStyle w:val="FootnoteCharacters"/>
          <w:rStyle w:val="FootnoteReference"/>
        </w:rPr>
        <w:footnoteReference w:id="6"/>
      </w:r>
      <w:r>
        <w:rPr/>
        <w:t xml:space="preserve">  As noted by the Justice Department, over-regulation can actually create an anticompetitive bias against marketing affiliates which reduce marketing affiliates’ ability to compete in the marketplace, thereby reducing competitive alternatives and reducing economic efficiency.</w:t>
      </w:r>
    </w:p>
    <w:p>
      <w:pPr>
        <w:pStyle w:val="Normal"/>
        <w:spacing w:lineRule="auto" w:line="480"/>
        <w:ind w:firstLine="720" w:end="0"/>
        <w:jc w:val="both"/>
        <w:rPr/>
      </w:pPr>
      <w:r>
        <w:rPr/>
        <w:t>The Commission should not assume that it is necessary to adopt rules that prohibit behavior (“prohibitory rules”) to protect against abuse and increase competition.  The Department of Justice and the Federal Trade Commission, which have direct responsibility for competition in the broader economy, do not rely upon prohibitory rules.  Rather, they rely upon narrowly focused enforcement actions when abuse is suspected.  This Commission should likewise rely upon its existing rules, coupled with its investigation and enforcement powers where appropriate.</w:t>
      </w:r>
    </w:p>
    <w:p>
      <w:pPr>
        <w:pStyle w:val="Normal"/>
        <w:spacing w:lineRule="auto" w:line="480"/>
        <w:ind w:firstLine="720" w:end="0"/>
        <w:jc w:val="both"/>
        <w:rPr/>
      </w:pPr>
      <w:r>
        <w:rPr/>
        <w:t>Before further prohibitory rules can be imposed upon affiliate transactions, three things must be conclusively established.  First, it must be proven that a significant industry-wide problem actually exists.  Second, it must be established that a proposed regulation will actually remedy that industry-wide problem and that the remedy proposed and adopted is the “least competitively restrictive alternative.”  Finally, it must be determined that the benefits outweigh the costs of imposition.</w:t>
      </w:r>
    </w:p>
    <w:p>
      <w:pPr>
        <w:pStyle w:val="Normal"/>
        <w:spacing w:lineRule="auto" w:line="480"/>
        <w:ind w:firstLine="720" w:end="0"/>
        <w:jc w:val="both"/>
        <w:rPr/>
      </w:pPr>
      <w:r>
        <w:rPr/>
        <w:t xml:space="preserve">It is not sufficient that there be evidence of some violations of existing rules in some isolated cases.  Rules which prohibit </w:t>
      </w:r>
      <w:r>
        <w:rPr>
          <w:u w:val="single"/>
        </w:rPr>
        <w:t>all</w:t>
      </w:r>
      <w:r>
        <w:rPr/>
        <w:t xml:space="preserve"> behavior of a certain type by all marketing affiliates will inevitably eliminate some beneficial activities along with activities that are unlawful.  This harm must be carefully weighed against the benefits of eliminating all economic activity of the type prohibited by the rule.</w:t>
      </w:r>
    </w:p>
    <w:p>
      <w:pPr>
        <w:pStyle w:val="Normal"/>
        <w:spacing w:lineRule="auto" w:line="480"/>
        <w:ind w:firstLine="720" w:end="0"/>
        <w:jc w:val="both"/>
        <w:rPr/>
      </w:pPr>
      <w:r>
        <w:rPr/>
        <w:t>For example, one of the proposals mentioned in the Notice is to limit capacity held by marketers on affiliate pipelines to a specified percentage of total capacity.  There could be many circumstances, however, in which affiliate marketers holding relatively high percentages of capacity on an affiliate pipeline would hurt no one and be economically efficient.  Most obviously, new construction must often be underwritten by contracts with pipelines’ marketing affiliates.  By like token, older, underutilized systems may have no ready users willing to bear the cost of the system other than a marketing affiliate.  In either instance, a rule that arbitrarily limits the amount of capacity that marketers can hold on an affiliated pipeline would eliminate economically efficient transactions, actually reduce competition and injure not just pipelines but producers, shippers and consumers as well.</w:t>
      </w:r>
    </w:p>
    <w:p>
      <w:pPr>
        <w:pStyle w:val="Normal"/>
        <w:spacing w:lineRule="auto" w:line="480"/>
        <w:ind w:firstLine="720" w:end="0"/>
        <w:jc w:val="both"/>
        <w:rPr/>
      </w:pPr>
      <w:r>
        <w:rPr/>
        <w:t>The Commission should not presume that its experience in the development of ISOs in the electric industry can be applied to the interstate natural gas pipeline industry.  There are a number of fundamental differences between the two industries, which will be discussed in detail below, which render the ISO concept inappropriate for the gas industry.  Indeed, the ISO concept, if transferred to the gas industry, will actually reduce competition and make the entire industry less efficient.</w:t>
      </w:r>
    </w:p>
    <w:p>
      <w:pPr>
        <w:pStyle w:val="Normal"/>
        <w:spacing w:lineRule="auto" w:line="480"/>
        <w:ind w:firstLine="720" w:end="0"/>
        <w:jc w:val="both"/>
        <w:rPr/>
      </w:pPr>
      <w:r>
        <w:rPr/>
        <w:t>A better example for the Commission to consider is the Commission’s treatment of petroleum pipelines which the Commission regulates under the Interstate Commerce Act.</w:t>
      </w:r>
      <w:r>
        <w:rPr>
          <w:rStyle w:val="FootnoteCharacters"/>
          <w:rStyle w:val="FootnoteReference"/>
        </w:rPr>
        <w:footnoteReference w:id="7"/>
      </w:r>
      <w:r>
        <w:rPr/>
        <w:t xml:space="preserve">  The ICC directly prohibits discrimination and goes even further than the Natural Gas Act by making the disclosure of </w:t>
      </w:r>
      <w:r>
        <w:rPr>
          <w:u w:val="single"/>
        </w:rPr>
        <w:t>any</w:t>
      </w:r>
      <w:r>
        <w:rPr/>
        <w:t xml:space="preserve"> confidential shipper information a criminal offense.  The petroleum industry is, of course, highly vertically integrated and petroleum pipelines often have affiliated producers as their principle shipper.  These affiliated producer shippers often share the facilities with nonaffiliated producer shippers.  Certainly the opportunity and motivation for affiliate abuse by petroleum pipelines is at least as great, if not greater, than is the case with respect to interstate natural gas pipelines.</w:t>
      </w:r>
    </w:p>
    <w:p>
      <w:pPr>
        <w:pStyle w:val="Normal"/>
        <w:spacing w:lineRule="auto" w:line="480"/>
        <w:ind w:firstLine="720" w:end="0"/>
        <w:jc w:val="both"/>
        <w:rPr/>
      </w:pPr>
      <w:r>
        <w:rPr/>
        <w:t>The FERC’s regulation of affiliate relations in the liquid petroleum pipeline industry has, however, been extremely lighthanded.</w:t>
      </w:r>
      <w:r>
        <w:rPr>
          <w:rStyle w:val="FootnoteCharacters"/>
          <w:rStyle w:val="FootnoteReference"/>
        </w:rPr>
        <w:footnoteReference w:id="8"/>
      </w:r>
      <w:r>
        <w:rPr/>
        <w:t xml:space="preserve">  There is no requirement for separate employees or specific security presentations.  There are no prohibitory regulations applicable to petroleum lines and the Commission has relied entirely upon its enforcement powers to deal with allegations of affiliate abuse.  If any change is made to the way in which pipeline affiliates are regulated, it should be to move toward the approach employed for petroleum pipelines.</w:t>
      </w:r>
    </w:p>
    <w:p>
      <w:pPr>
        <w:pStyle w:val="Normal"/>
        <w:spacing w:lineRule="auto" w:line="480"/>
        <w:jc w:val="both"/>
        <w:rPr/>
      </w:pPr>
      <w:r>
        <w:rPr/>
        <w:tab/>
        <w:t>The Commission must be mindful that its affiliate rules can be used as a weapon by marketers or shippers to either eliminate competition or to extract concessions from interstate pipelines.  The more complex and burdensome the regulatory regime becomes the more likely it is that competitors and shippers will “find” or at least imagine violations.  The positions of these parties should be viewed with skepticism and caution.</w:t>
      </w:r>
    </w:p>
    <w:p>
      <w:pPr>
        <w:pStyle w:val="Normal"/>
        <w:spacing w:lineRule="auto" w:line="480"/>
        <w:ind w:firstLine="720" w:end="0"/>
        <w:jc w:val="both"/>
        <w:rPr/>
      </w:pPr>
      <w:r>
        <w:rPr/>
        <w:t>The Commission needs to begin its analysis in this proceeding with a consideration of its existing policies and law.  The Commission should employ the “least competitively restrictive alternative.”</w:t>
      </w:r>
      <w:r>
        <w:rPr>
          <w:rStyle w:val="FootnoteCharacters"/>
          <w:rStyle w:val="FootnoteReference"/>
        </w:rPr>
        <w:footnoteReference w:id="9"/>
      </w:r>
      <w:r>
        <w:rPr/>
        <w:t xml:space="preserve">  As the Commission previously said, “Pipeline marketing affiliates should be able to compete in the market on the same terms as non-affiliates to the maximum extent possible.”</w:t>
      </w:r>
      <w:r>
        <w:rPr>
          <w:rStyle w:val="FootnoteCharacters"/>
          <w:rStyle w:val="FootnoteReference"/>
        </w:rPr>
        <w:footnoteReference w:id="10"/>
      </w:r>
      <w:r>
        <w:rPr/>
        <w:t xml:space="preserve">  Above all, the Commission should consider the injury that will be done by additional rules and carefully weigh that harm against the need for and benefit of new, prohibitory rules.</w:t>
      </w:r>
    </w:p>
    <w:p>
      <w:pPr>
        <w:pStyle w:val="Normal"/>
        <w:spacing w:lineRule="auto" w:line="480"/>
        <w:ind w:firstLine="720" w:end="0"/>
        <w:jc w:val="both"/>
        <w:rPr>
          <w:b/>
        </w:rPr>
      </w:pPr>
      <w:r>
        <w:rPr>
          <w:b/>
        </w:rPr>
        <w:t>A.</w:t>
        <w:tab/>
        <w:t>Open and Fair Bidding Procedures</w:t>
      </w:r>
    </w:p>
    <w:p>
      <w:pPr>
        <w:pStyle w:val="Normal"/>
        <w:spacing w:lineRule="auto" w:line="480"/>
        <w:jc w:val="both"/>
        <w:rPr/>
      </w:pPr>
      <w:r>
        <w:rPr/>
        <w:tab/>
        <w:t xml:space="preserve">Taking each of the proposed alternatives listed in turn, the Notice first asks whether one alternative could be “maintaining open and fair bidding procedures.”  From a legal and policy perspective, the alternative proposed is perplexing given the substantial and comprehensive regulations and reporting systems now in place on bidding for and allocation of capacity.  Indeed, nowhere in the Notice is there any discussion regarding flaws in current procedures, approved as “just and reasonable” within the meaning of the Natural Gas Act.  </w:t>
      </w:r>
    </w:p>
    <w:p>
      <w:pPr>
        <w:pStyle w:val="Normal"/>
        <w:spacing w:lineRule="auto" w:line="480"/>
        <w:jc w:val="both"/>
        <w:rPr/>
      </w:pPr>
      <w:r>
        <w:rPr/>
        <w:tab/>
        <w:t>The Commission has already acted assiduously to ensure “open and fair bidding procedures.”  In Order No. 436,</w:t>
      </w:r>
      <w:r>
        <w:rPr>
          <w:rStyle w:val="FootnoteReference"/>
          <w:vertAlign w:val="superscript"/>
        </w:rPr>
        <w:footnoteReference w:id="11"/>
      </w:r>
      <w:r>
        <w:rPr/>
        <w:t xml:space="preserve"> the Commission instituted first come first serve procedures for allocating interstate pipeline capacity.  Pipelines under this first come, first served procedure are required to maintain queue procedures showing which entity requested capacity, how much capacity, and at what time.  The specific procedures, including for breaking ties in bids, are spelled out in FERC-approved pipeline FERC Gas Tariffs.  These procedures are the result of extensive proceedings under Order Nos. 436 and again under Order No. 636.  These tariffs are maintained on pipeline Internet Website and thus are publicly and instantly available.  Also, contacts are identified in each tariff should a customer or potential customer have questions.  The pipeline’s queue under the first come first serve procedures is a record available to the Commission and to any other person who requests it.</w:t>
      </w:r>
      <w:r>
        <w:rPr>
          <w:rStyle w:val="FootnoteReference"/>
          <w:vertAlign w:val="superscript"/>
        </w:rPr>
        <w:footnoteReference w:id="12"/>
      </w:r>
      <w:r>
        <w:rPr/>
        <w:t xml:space="preserve">  Under the Commission’s regulations discounts must be made on a non-discriminatory basis and discounts must be reported.  </w:t>
      </w:r>
    </w:p>
    <w:p>
      <w:pPr>
        <w:pStyle w:val="Normal"/>
        <w:spacing w:lineRule="auto" w:line="480"/>
        <w:jc w:val="both"/>
        <w:rPr/>
      </w:pPr>
      <w:r>
        <w:rPr/>
        <w:tab/>
        <w:t xml:space="preserve">These procedures passed muster in the judicial review of the Commission’s Order Nos. 436, </w:t>
      </w:r>
      <w:r>
        <w:rPr>
          <w:i/>
        </w:rPr>
        <w:t>et seq.</w:t>
      </w:r>
      <w:r>
        <w:rPr>
          <w:rStyle w:val="FootnoteReference"/>
          <w:i/>
          <w:vertAlign w:val="superscript"/>
        </w:rPr>
        <w:footnoteReference w:id="13"/>
      </w:r>
      <w:r>
        <w:rPr/>
        <w:t xml:space="preserve"> and later in Order Nos. 636, </w:t>
      </w:r>
      <w:r>
        <w:rPr>
          <w:i/>
        </w:rPr>
        <w:t>et seq.</w:t>
      </w:r>
      <w:r>
        <w:rPr>
          <w:rStyle w:val="FootnoteReference"/>
          <w:i/>
          <w:vertAlign w:val="superscript"/>
        </w:rPr>
        <w:footnoteReference w:id="14"/>
      </w:r>
      <w:r>
        <w:rPr/>
        <w:t xml:space="preserve">  Additionally, interstate pipelines, at Commission direction and with Commission approval, instituted procedures as to how they would allocate primary and secondary point capacity.  While the procedure is not necessarily precisely the same on all interstate pipelines, the procedure  is an approved Commission procedure embedded in interstate pipeline tariffs and currently subject to further review in the Order No. 637 proceedings instituted by the Commission in Docket No’s. RM98-10 and RM98-12.  Implicit, of course, in the Commission’s approval of the way in which both pipeline capacity and point capacity has been allocated is a ruling that such procedures are just and reasonable and nondiscriminatory and non-preferential as required by the Natural Gas Act.  </w:t>
      </w:r>
    </w:p>
    <w:p>
      <w:pPr>
        <w:pStyle w:val="Normal"/>
        <w:spacing w:lineRule="auto" w:line="480"/>
        <w:jc w:val="both"/>
        <w:rPr/>
      </w:pPr>
      <w:r>
        <w:rPr/>
        <w:tab/>
        <w:t>Some interstate pipelines have requested, and the Commission has again approved in accord with statutory requirements, allocation of capacity on net present value allocation basis.</w:t>
      </w:r>
      <w:r>
        <w:rPr>
          <w:rStyle w:val="FootnoteReference"/>
          <w:vertAlign w:val="superscript"/>
        </w:rPr>
        <w:footnoteReference w:id="15"/>
      </w:r>
      <w:r>
        <w:rPr/>
        <w:t xml:space="preserve">  Under these procedures, there is an “open season” in which entities are permitted to bid for capacity that is posted on pipelines’ Internet Websites pursuant to procedures dictated either by tariff or with specificity by the pipeline on the Internet Website for all to see.  The procedures are the same for all; all bidders are subject to exactly the same standards.  Typically, the evaluation of the winner’s bid is subject to an Internet Website reporting requirement, again so that all can monitor and immediately know how the capacity was awarded. Complaints can be registered with the pipeline pursuant to FERC required tariff procedures, pursuant to the now codified FERC Hotline procedures or pursuant to the FERC’s new Order No. 602 expedited complaint procedures.  The Commission, when it has found a Hotline issue to be of significant importance, has acted </w:t>
      </w:r>
      <w:r>
        <w:rPr>
          <w:i/>
        </w:rPr>
        <w:t>sua sponte</w:t>
      </w:r>
      <w:r>
        <w:rPr/>
        <w:t xml:space="preserve"> to issue an order to provide the necessary guidance.</w:t>
      </w:r>
    </w:p>
    <w:p>
      <w:pPr>
        <w:pStyle w:val="Normal"/>
        <w:spacing w:lineRule="auto" w:line="480"/>
        <w:jc w:val="both"/>
        <w:rPr/>
      </w:pPr>
      <w:r>
        <w:rPr/>
        <w:tab/>
        <w:t xml:space="preserve">In addition to the foregoing, the Commission typically requires open seasons procedures for bidding for capacity on proposed new pipeline projects.  Examples of the open seasons postings are attached hereto as Exhibit </w:t>
      </w:r>
      <w:r>
        <w:rPr>
          <w:u w:val="single"/>
        </w:rPr>
        <w:t>__</w:t>
      </w:r>
      <w:r>
        <w:rPr/>
        <w:t>.  The scope of the project is described and the terms and conditions pursuant to which the pipeline seeks bids for capacity are also described.  Typically parties may bid without being bound until a precedent  agreement is negotiated.  However, all who bid, even though nonbinding, are given the same opportunity to negotiate for capacity on the new project.  The precedent agreements are filed with the Commission, and all parties have an opportunity to review and comment on them, as well as whether the method of awarding the capacity was fair and reasonable.  Again, the existing procedures are “open and fair” and there is no industry-wide evidence to the contrary.</w:t>
      </w:r>
    </w:p>
    <w:p>
      <w:pPr>
        <w:pStyle w:val="Normal"/>
        <w:spacing w:lineRule="auto" w:line="480"/>
        <w:jc w:val="both"/>
        <w:rPr/>
      </w:pPr>
      <w:r>
        <w:rPr/>
        <w:tab/>
        <w:t>The question of whether there should be changes in existing capacity allocation procedures was discussed at length in Docket Nos. RM98-10 and RM98-12.  The voluminous record developed in those proceedings, a record which included a Staff White Paper on auction procedures and a public conference on such procedures, demonstrated almost universal opposition to the proposed mandatory auction procedures.  The opposition ranged from serious economic and policy questions about the adverse effect that such mandatory auction procedures would have on the industry to issues surrounding the proper way in which to structure any such auction procedures.  The evidence developed in Docket Nos. RM98-10 and RM98-12 included evidence presented by economic experts on auction procedures.  The list of issues that would need to be resolved include such issues as timing of posting, rights to rebid and upstream and downstream capacity.  In addition, it was acknowledged by many that there would need to be a test period in order to see how the auction would in fact work or whether it would be producing anomalous results and distort price signals.  Based on the voluminous record developed in Docket Nos. RM98-10 and RM98-12, the Commission concluded in Order No. 637 that it would not impose mandatory auction procedures, but rather would invite individual pipelines to develop their own voluntary auction procedures should they so desire.  The Commission, in Order No. 637, outlined a number of principles that would need to be adhered to, in the Commission’s view, in order a voluntary auction procedure to pass muster.</w:t>
      </w:r>
      <w:r>
        <w:rPr>
          <w:rStyle w:val="FootnoteReference"/>
          <w:vertAlign w:val="superscript"/>
        </w:rPr>
        <w:footnoteReference w:id="16"/>
      </w:r>
      <w:r>
        <w:rPr/>
        <w:t xml:space="preserve">  Having so recently concluded that mandatory auction procedures could not be supported, it is anomalous that the thought of revisions in current capacity allocation procedures are being considered now.  </w:t>
      </w:r>
    </w:p>
    <w:p>
      <w:pPr>
        <w:pStyle w:val="Normal"/>
        <w:spacing w:lineRule="auto" w:line="480"/>
        <w:jc w:val="both"/>
        <w:rPr/>
      </w:pPr>
      <w:r>
        <w:rPr/>
        <w:tab/>
        <w:t>In short, the Commission has approved “open and fair bidding procedures” for capacity that are transparent, easily monitored and easily scrutinized.  There is no evidence that the imposition of further auction procedures are necessary or appropriate.  Furthermore, as demonstrated in the “Auction Rulemaking” further mandatory auction procedures could create serious problems and economic inefficiencies.</w:t>
      </w:r>
    </w:p>
    <w:p>
      <w:pPr>
        <w:pStyle w:val="Normal"/>
        <w:spacing w:lineRule="auto" w:line="480"/>
        <w:jc w:val="both"/>
        <w:rPr/>
      </w:pPr>
      <w:r>
        <w:rPr/>
        <w:tab/>
      </w:r>
      <w:r>
        <w:rPr>
          <w:b/>
        </w:rPr>
        <w:t>B.</w:t>
        <w:tab/>
        <w:t>Capacity Positions.</w:t>
      </w:r>
    </w:p>
    <w:p>
      <w:pPr>
        <w:pStyle w:val="Normal"/>
        <w:spacing w:lineRule="auto" w:line="480"/>
        <w:jc w:val="both"/>
        <w:rPr/>
      </w:pPr>
      <w:r>
        <w:rPr/>
        <w:tab/>
        <w:t>The Notice of Staff Conference next asks whether there should be prohibitions on affiliates holding capacity on affiliated interstate pipeline.  Given the fact that affiliates must abide by the same rules on bidding for capacity as nonaffiliates, there is no reason for any prohibition on affiliates holding capacity on the affiliated pipeline.  To put this issue in context, not only are affiliates held to the same capacity request, bidding and allocation procedures as all other entities, but their transactions are also reported on a real time basis under Order No. 637.  Without limitation, transactions with affiliates, as well as nonaffiliates, must be reported as follows:</w:t>
      </w:r>
    </w:p>
    <w:p>
      <w:pPr>
        <w:pStyle w:val="Normal"/>
        <w:keepNext w:val="true"/>
        <w:numPr>
          <w:ilvl w:val="0"/>
          <w:numId w:val="13"/>
        </w:numPr>
        <w:spacing w:lineRule="auto" w:line="480"/>
        <w:jc w:val="both"/>
        <w:rPr>
          <w:b/>
        </w:rPr>
      </w:pPr>
      <w:r>
        <w:rPr/>
        <w:tab/>
      </w:r>
      <w:r>
        <w:rPr>
          <w:b/>
        </w:rPr>
        <w:t>Index of Customers, as updated by Order No. 637</w:t>
      </w:r>
    </w:p>
    <w:p>
      <w:pPr>
        <w:pStyle w:val="Normal"/>
        <w:tabs>
          <w:tab w:val="left" w:pos="720" w:leader="none"/>
          <w:tab w:val="left" w:pos="1440" w:leader="none"/>
        </w:tabs>
        <w:spacing w:lineRule="auto" w:line="480"/>
        <w:ind w:hanging="1440" w:start="1440" w:end="0"/>
        <w:jc w:val="both"/>
        <w:rPr/>
      </w:pPr>
      <w:r>
        <w:rPr/>
        <w:tab/>
        <w:tab/>
        <w:t>Interstate pipelines must maintain an Index of Customers that is available on their Internet Websites.  The Index of Customers includes information on the service being provided, the contract MDQ, points of receipt and delivery, and contract term.</w:t>
      </w:r>
    </w:p>
    <w:p>
      <w:pPr>
        <w:pStyle w:val="Normal"/>
        <w:numPr>
          <w:ilvl w:val="0"/>
          <w:numId w:val="13"/>
        </w:numPr>
        <w:tabs>
          <w:tab w:val="clear" w:pos="720"/>
          <w:tab w:val="left" w:pos="1440" w:leader="none"/>
        </w:tabs>
        <w:spacing w:lineRule="auto" w:line="480"/>
        <w:jc w:val="both"/>
        <w:rPr>
          <w:b/>
        </w:rPr>
      </w:pPr>
      <w:r>
        <w:rPr/>
        <w:tab/>
      </w:r>
      <w:r>
        <w:rPr>
          <w:b/>
        </w:rPr>
        <w:t>Discount reports, as updated by Order No. 637</w:t>
      </w:r>
    </w:p>
    <w:p>
      <w:pPr>
        <w:pStyle w:val="Normal"/>
        <w:tabs>
          <w:tab w:val="left" w:pos="720" w:leader="none"/>
          <w:tab w:val="left" w:pos="1440" w:leader="none"/>
        </w:tabs>
        <w:spacing w:lineRule="auto" w:line="480"/>
        <w:ind w:hanging="1440" w:start="1440" w:end="0"/>
        <w:jc w:val="both"/>
        <w:rPr/>
      </w:pPr>
      <w:r>
        <w:rPr/>
        <w:tab/>
        <w:tab/>
        <w:t xml:space="preserve">Interstate pipelines have long been subject to reporting requirements on discounts given to shippers, as well as requirement under the existing marketing affiliate regulations under Part 161 of the Commission’s regulations to offer to similarly situated shippers the same discounts offered to marketing affiliates.  With the implementation of Order No. 637, interstate pipelines became subject to more real-time reporting of all transportation and storage transactions, including discounts that are given to shippers. </w:t>
      </w:r>
      <w:r>
        <w:rPr>
          <w:b/>
        </w:rPr>
        <w:t>[elaborate on Order No. 637]</w:t>
      </w:r>
    </w:p>
    <w:p>
      <w:pPr>
        <w:pStyle w:val="1BulletList"/>
        <w:numPr>
          <w:ilvl w:val="0"/>
          <w:numId w:val="11"/>
        </w:numPr>
        <w:tabs>
          <w:tab w:val="left" w:pos="720" w:leader="none"/>
          <w:tab w:val="left" w:pos="1440" w:leader="none"/>
        </w:tabs>
        <w:spacing w:lineRule="auto" w:line="480"/>
        <w:jc w:val="both"/>
        <w:rPr>
          <w:sz w:val="24"/>
        </w:rPr>
      </w:pPr>
      <w:r>
        <w:rPr>
          <w:sz w:val="24"/>
        </w:rPr>
        <w:tab/>
      </w:r>
      <w:r>
        <w:rPr>
          <w:b/>
          <w:sz w:val="24"/>
        </w:rPr>
        <w:t>Capacity release procedures</w:t>
      </w:r>
    </w:p>
    <w:p>
      <w:pPr>
        <w:pStyle w:val="Normal"/>
        <w:tabs>
          <w:tab w:val="left" w:pos="720" w:leader="none"/>
          <w:tab w:val="left" w:pos="1440" w:leader="none"/>
        </w:tabs>
        <w:spacing w:lineRule="auto" w:line="480"/>
        <w:ind w:hanging="1440" w:start="1440" w:end="0"/>
        <w:jc w:val="both"/>
        <w:rPr/>
      </w:pPr>
      <w:r>
        <w:rPr/>
        <w:tab/>
        <w:tab/>
        <w:t>Capacity release procedures have been in place since the implementation of Order No. 636.  Those procedures are detailed in each interstate pipeline FERC gas tariff and are equally applicable to affiliates and non-affiliates.  Those capacity release procedures include details about the bidding on capacity and even where a release qualifies for non-bidding because it meets the pre-arranged standards of the Commission’s regulation (considerably narrowed under Order No. 637) the release must be reported.  In this regard, much of the capacity release activity is in fact controlled by non-affiliates who may choose, or not, to deal with a pipeline marketing affiliate.</w:t>
      </w:r>
    </w:p>
    <w:p>
      <w:pPr>
        <w:pStyle w:val="1BulletList"/>
        <w:numPr>
          <w:ilvl w:val="0"/>
          <w:numId w:val="7"/>
        </w:numPr>
        <w:tabs>
          <w:tab w:val="left" w:pos="720" w:leader="none"/>
          <w:tab w:val="left" w:pos="1440" w:leader="none"/>
        </w:tabs>
        <w:spacing w:lineRule="auto" w:line="480"/>
        <w:jc w:val="both"/>
        <w:rPr>
          <w:sz w:val="24"/>
        </w:rPr>
      </w:pPr>
      <w:r>
        <w:rPr>
          <w:sz w:val="24"/>
        </w:rPr>
        <w:tab/>
      </w:r>
      <w:r>
        <w:rPr>
          <w:b/>
          <w:sz w:val="24"/>
        </w:rPr>
        <w:t>Open seasons requirements</w:t>
      </w:r>
    </w:p>
    <w:p>
      <w:pPr>
        <w:pStyle w:val="Normal"/>
        <w:tabs>
          <w:tab w:val="left" w:pos="720" w:leader="none"/>
          <w:tab w:val="left" w:pos="1440" w:leader="none"/>
        </w:tabs>
        <w:spacing w:lineRule="auto" w:line="480"/>
        <w:ind w:hanging="1440" w:start="1440" w:end="0"/>
        <w:jc w:val="both"/>
        <w:rPr/>
      </w:pPr>
      <w:r>
        <w:rPr/>
        <w:tab/>
        <w:tab/>
        <w:t>It is Commission policy to require that with respect to all major pipeline projects interstate pipelines engage in two procedures.  First, is a “reverse open season” which invites existing shippers to turnback capacity meeting the requirements of the proposed pipeline project.  If there is any such capacity, it is to be incorporated into and utilized in the new project.  Secondly, pipelines conduct open season soliciting bids for capacity on the new pipeline project.  These open season procedures must be conducted on nondiscriminatory basis and are subject to review in connection with the pipeline’s application for certificate of public convenience and necessity under section 7 of the Natural Gas Act.</w:t>
      </w:r>
    </w:p>
    <w:p>
      <w:pPr>
        <w:pStyle w:val="1BulletList"/>
        <w:numPr>
          <w:ilvl w:val="0"/>
          <w:numId w:val="12"/>
        </w:numPr>
        <w:tabs>
          <w:tab w:val="left" w:pos="720" w:leader="none"/>
          <w:tab w:val="left" w:pos="1440" w:leader="none"/>
        </w:tabs>
        <w:spacing w:lineRule="auto" w:line="480"/>
        <w:jc w:val="both"/>
        <w:rPr>
          <w:sz w:val="24"/>
        </w:rPr>
      </w:pPr>
      <w:r>
        <w:rPr>
          <w:sz w:val="24"/>
        </w:rPr>
        <w:tab/>
      </w:r>
      <w:r>
        <w:rPr>
          <w:b/>
          <w:sz w:val="24"/>
        </w:rPr>
        <w:t>Capacity allocation requirements by tariff</w:t>
      </w:r>
    </w:p>
    <w:p>
      <w:pPr>
        <w:pStyle w:val="Normal"/>
        <w:tabs>
          <w:tab w:val="left" w:pos="720" w:leader="none"/>
          <w:tab w:val="left" w:pos="1440" w:leader="none"/>
        </w:tabs>
        <w:spacing w:lineRule="auto" w:line="480"/>
        <w:ind w:hanging="1440" w:start="1440" w:end="0"/>
        <w:jc w:val="both"/>
        <w:rPr/>
      </w:pPr>
      <w:r>
        <w:rPr/>
        <w:tab/>
        <w:tab/>
        <w:t>As discussed above, pipeline tariffs contain details about requests for service and bidding for capacity and allocation of capacity.  These procedures have been reviewed by the Commission and found to be just and reasonable.</w:t>
      </w:r>
    </w:p>
    <w:p>
      <w:pPr>
        <w:pStyle w:val="1BulletList"/>
        <w:numPr>
          <w:ilvl w:val="0"/>
          <w:numId w:val="9"/>
        </w:numPr>
        <w:tabs>
          <w:tab w:val="left" w:pos="720" w:leader="none"/>
          <w:tab w:val="left" w:pos="1440" w:leader="none"/>
        </w:tabs>
        <w:spacing w:lineRule="auto" w:line="480"/>
        <w:jc w:val="both"/>
        <w:rPr>
          <w:sz w:val="24"/>
        </w:rPr>
      </w:pPr>
      <w:r>
        <w:rPr>
          <w:sz w:val="24"/>
        </w:rPr>
        <w:tab/>
      </w:r>
      <w:r>
        <w:rPr>
          <w:b/>
          <w:sz w:val="24"/>
        </w:rPr>
        <w:t>Real time reporting per Order No. 637</w:t>
      </w:r>
    </w:p>
    <w:p>
      <w:pPr>
        <w:pStyle w:val="Normal"/>
        <w:tabs>
          <w:tab w:val="left" w:pos="720" w:leader="none"/>
          <w:tab w:val="left" w:pos="1440" w:leader="none"/>
        </w:tabs>
        <w:spacing w:lineRule="auto" w:line="480"/>
        <w:ind w:hanging="1440" w:start="1440" w:end="0"/>
        <w:jc w:val="both"/>
        <w:rPr/>
      </w:pPr>
      <w:r>
        <w:rPr/>
        <w:tab/>
        <w:tab/>
        <w:t>While not restricted to affiliates, under Order No. 637, interstate pipelines are required to maintain on their Internet Websites information on design capacity, as well as operationally available capacity.  This information is to be updated constantly so that is “real time.”  This information aids all shippers in understanding what options are available to them on interstate pipelines.</w:t>
      </w:r>
    </w:p>
    <w:p>
      <w:pPr>
        <w:pStyle w:val="1BulletList"/>
        <w:keepNext w:val="true"/>
        <w:numPr>
          <w:ilvl w:val="0"/>
          <w:numId w:val="3"/>
        </w:numPr>
        <w:tabs>
          <w:tab w:val="left" w:pos="720" w:leader="none"/>
          <w:tab w:val="left" w:pos="1440" w:leader="none"/>
        </w:tabs>
        <w:spacing w:lineRule="auto" w:line="480"/>
        <w:jc w:val="both"/>
        <w:rPr>
          <w:sz w:val="24"/>
        </w:rPr>
      </w:pPr>
      <w:r>
        <w:rPr>
          <w:sz w:val="24"/>
        </w:rPr>
        <w:tab/>
      </w:r>
      <w:r>
        <w:rPr>
          <w:b/>
          <w:sz w:val="24"/>
        </w:rPr>
        <w:t>Three business day requirement for reporting new marketing affiliates</w:t>
      </w:r>
    </w:p>
    <w:p>
      <w:pPr>
        <w:pStyle w:val="Normal"/>
        <w:tabs>
          <w:tab w:val="left" w:pos="720" w:leader="none"/>
          <w:tab w:val="left" w:pos="1440" w:leader="none"/>
        </w:tabs>
        <w:spacing w:lineRule="auto" w:line="480"/>
        <w:ind w:hanging="1440" w:start="1440" w:end="0"/>
        <w:jc w:val="both"/>
        <w:rPr/>
      </w:pPr>
      <w:r>
        <w:rPr/>
        <w:tab/>
        <w:tab/>
        <w:t xml:space="preserve">The Commission had previously required that interstate pipelines report new marketing affiliates within three business days of an affiliate becoming a marketing affiliate.  This information is available on pipelines Internet Websites.  </w:t>
      </w:r>
    </w:p>
    <w:p>
      <w:pPr>
        <w:pStyle w:val="1BulletList"/>
        <w:numPr>
          <w:ilvl w:val="0"/>
          <w:numId w:val="8"/>
        </w:numPr>
        <w:tabs>
          <w:tab w:val="left" w:pos="720" w:leader="none"/>
          <w:tab w:val="left" w:pos="1440" w:leader="none"/>
        </w:tabs>
        <w:spacing w:lineRule="auto" w:line="480"/>
        <w:jc w:val="both"/>
        <w:rPr>
          <w:sz w:val="24"/>
        </w:rPr>
      </w:pPr>
      <w:r>
        <w:rPr>
          <w:sz w:val="24"/>
        </w:rPr>
        <w:tab/>
      </w:r>
      <w:r>
        <w:rPr>
          <w:b/>
          <w:sz w:val="24"/>
        </w:rPr>
        <w:t>Corporate organization requirements (shared employees) per Order No. 637</w:t>
      </w:r>
    </w:p>
    <w:p>
      <w:pPr>
        <w:pStyle w:val="Normal"/>
        <w:tabs>
          <w:tab w:val="left" w:pos="720" w:leader="none"/>
          <w:tab w:val="left" w:pos="1440" w:leader="none"/>
        </w:tabs>
        <w:spacing w:lineRule="auto" w:line="480"/>
        <w:ind w:hanging="1440" w:start="1440" w:end="0"/>
        <w:jc w:val="both"/>
        <w:rPr/>
      </w:pPr>
      <w:r>
        <w:rPr/>
        <w:tab/>
        <w:tab/>
        <w:t>Order No. 637 requires that interstate pipelines post substantial corporate organizational details, including shared employees (if any) on their Internet Websites.  This information is available to any person wishing to review it on the Internet Website.</w:t>
      </w:r>
    </w:p>
    <w:p>
      <w:pPr>
        <w:pStyle w:val="1BulletList"/>
        <w:numPr>
          <w:ilvl w:val="0"/>
          <w:numId w:val="8"/>
        </w:numPr>
        <w:tabs>
          <w:tab w:val="left" w:pos="720" w:leader="none"/>
          <w:tab w:val="left" w:pos="1440" w:leader="none"/>
        </w:tabs>
        <w:spacing w:lineRule="auto" w:line="480"/>
        <w:jc w:val="both"/>
        <w:rPr>
          <w:sz w:val="24"/>
        </w:rPr>
      </w:pPr>
      <w:r>
        <w:rPr>
          <w:sz w:val="24"/>
        </w:rPr>
        <w:tab/>
      </w:r>
      <w:r>
        <w:rPr>
          <w:b/>
          <w:sz w:val="24"/>
        </w:rPr>
        <w:t>Parts 161 and 250 requirements</w:t>
      </w:r>
    </w:p>
    <w:p>
      <w:pPr>
        <w:pStyle w:val="Normal"/>
        <w:tabs>
          <w:tab w:val="left" w:pos="720" w:leader="none"/>
          <w:tab w:val="left" w:pos="1440" w:leader="none"/>
        </w:tabs>
        <w:spacing w:lineRule="auto" w:line="480"/>
        <w:ind w:hanging="1440" w:start="1440" w:end="0"/>
        <w:jc w:val="both"/>
        <w:rPr/>
      </w:pPr>
      <w:r>
        <w:rPr/>
        <w:tab/>
        <w:tab/>
        <w:t>Finally, and not the least, the Commission has had in place since Order No. 497 as updated by Order No. 566 and subsequent orders, detailed regulations governing how interstate pipelines may interact with their marketing affiliates.  These regulations include how to apply tariffs to marketing affiliates, limitations on communications with marketing affiliates, requirements for the disclosure of information to non-affiliates if there have been certain communications with marketing affiliates, requirements applicable to discounts, and the general requirement that interstate pipeline operating employees operate independently to the maximum extent practicable from operating employees of marketing affiliates.</w:t>
      </w:r>
    </w:p>
    <w:p>
      <w:pPr>
        <w:pStyle w:val="Normal"/>
        <w:numPr>
          <w:ilvl w:val="0"/>
          <w:numId w:val="13"/>
        </w:numPr>
        <w:tabs>
          <w:tab w:val="clear" w:pos="720"/>
          <w:tab w:val="left" w:pos="1440" w:leader="none"/>
        </w:tabs>
        <w:spacing w:lineRule="auto" w:line="480"/>
        <w:ind w:hanging="1080" w:start="1440" w:end="0"/>
        <w:jc w:val="both"/>
        <w:rPr>
          <w:b/>
        </w:rPr>
      </w:pPr>
      <w:r>
        <w:rPr/>
        <w:tab/>
      </w:r>
      <w:r>
        <w:rPr>
          <w:b/>
        </w:rPr>
        <w:t>Certificate proceedings</w:t>
      </w:r>
    </w:p>
    <w:p>
      <w:pPr>
        <w:pStyle w:val="Normal"/>
        <w:tabs>
          <w:tab w:val="clear" w:pos="720"/>
          <w:tab w:val="left" w:pos="1440" w:leader="none"/>
        </w:tabs>
        <w:spacing w:lineRule="auto" w:line="480"/>
        <w:ind w:start="1440" w:end="0"/>
        <w:jc w:val="both"/>
        <w:rPr/>
      </w:pPr>
      <w:r>
        <w:rPr/>
        <w:t>In connection with any major project, the Commission has the ability to review, and it has, whether affiliates holding capacity on the affiliated pipeline is a problem.  In some instances it is found that it is a problem and imposed conditions and in other instances it has found that it does not.</w:t>
      </w:r>
      <w:r>
        <w:rPr>
          <w:rStyle w:val="FootnoteReference"/>
          <w:vertAlign w:val="superscript"/>
        </w:rPr>
        <w:footnoteReference w:id="17"/>
      </w:r>
    </w:p>
    <w:p>
      <w:pPr>
        <w:pStyle w:val="Normal"/>
        <w:spacing w:lineRule="auto" w:line="480"/>
        <w:jc w:val="both"/>
        <w:rPr/>
      </w:pPr>
      <w:r>
        <w:rPr/>
        <w:tab/>
        <w:t>On a more basic policy and economic basis, however, it is clear that the over regulation of affiliates is harmful to the economy.  The energy industry is, by nature, vertically integrated and interdependent.  The interstate natural gas pipeline industry is just one, relatively small part, of the overall energy industry.  Integration of related economic activities within a firm is economically efficient and should not be discouraged by regulation.  It is recognized that regulatory burdens that unnecessarily inhibit intercorporate relationships can in fact cause injury to the economy and be detrimental to consumers.</w:t>
      </w:r>
    </w:p>
    <w:p>
      <w:pPr>
        <w:pStyle w:val="Normal"/>
        <w:spacing w:lineRule="auto" w:line="480"/>
        <w:jc w:val="both"/>
        <w:rPr/>
      </w:pPr>
      <w:r>
        <w:rPr/>
        <w:tab/>
        <w:t>The FERC itself recognized the potential damage that could be done by excessive regulation of relationships when it adopted the “lease competitively restrictive alternative test” in Order No. 497.  In the words of the FERC in Order No. 497:</w:t>
      </w:r>
    </w:p>
    <w:p>
      <w:pPr>
        <w:pStyle w:val="Normal"/>
        <w:ind w:start="720" w:end="720"/>
        <w:jc w:val="both"/>
        <w:rPr/>
      </w:pPr>
      <w:r>
        <w:rPr/>
        <w:t>[T]he Commission has also adopted the “least competitively restrictive alternative test” which requires consideration of (1) any negative restriction son competition and (2) the scope and duration of the restrictions, (3) whether an advantage to the public interest exists, (4) whether any alternative courses of action are available, and (5) if there are no alternatives, whether the offending provision is severable.</w:t>
      </w:r>
      <w:r>
        <w:rPr>
          <w:rStyle w:val="FootnoteReference"/>
          <w:vertAlign w:val="superscript"/>
        </w:rPr>
        <w:footnoteReference w:id="18"/>
      </w:r>
    </w:p>
    <w:p>
      <w:pPr>
        <w:pStyle w:val="Normal"/>
        <w:ind w:start="720" w:end="720"/>
        <w:jc w:val="both"/>
        <w:rPr/>
      </w:pPr>
      <w:r>
        <w:rPr/>
      </w:r>
    </w:p>
    <w:p>
      <w:pPr>
        <w:pStyle w:val="Normal"/>
        <w:spacing w:lineRule="auto" w:line="480"/>
        <w:jc w:val="both"/>
        <w:rPr/>
      </w:pPr>
      <w:r>
        <w:rPr/>
        <w:tab/>
        <w:t>There are many examples of affiliate relationships that have been beneficial to the economy and to consumers.  By way of example, new projects are often made available when marketing affiliates participate in the bidding for capacity during an open season.  The Commission can take official notice that such projects, made partly available because affiliates elected to participate and did so, have redounded to the general benefit of the interstate pipeline grid and thus to consumers.  Two recent examples include Portland Natural Gas Transmission System and Maritimes &amp; Northeast Pipeline, L.L.C., both new interstate pipelines bringing supplies of gas from Canada, including new supplies from Offshore Nova Scotia, into New England and the northeast.  Some of the markets that are being served were nonexistent prior to the construction of these two new interstate pipelines.  Also, affiliates can aid in the efficient use of underutilized capacity or turnback capacity.  That is not to say that affiliates are given a preference with respect to such capacity, but elimination of affiliates from the mix of potential bidders for capacity and utilizers of capacity can only logically exacerbate underutilization or turnback of capacity and the potential for cost shifting to customers of costs associated with underutilized capacity.</w:t>
      </w:r>
    </w:p>
    <w:p>
      <w:pPr>
        <w:pStyle w:val="Normal"/>
        <w:spacing w:lineRule="auto" w:line="480"/>
        <w:jc w:val="both"/>
        <w:rPr/>
      </w:pPr>
      <w:r>
        <w:rPr/>
        <w:tab/>
        <w:t>The Notice also asks whether there should be limitations on an affiliate’s capacity market share.  For reasons outlined above, INGAA believes that any such limitation would simply be an artificial and anticompetitive restraint on trade.  Certainly no evidence exists that there is a need to impose any such limitation.  Interstate pipeline marketing affiliates do not nationwide hold a significant amount of capacity on their affiliated interstate pipelines.  Further, in instances where affiliates may hold a significant share of capacity, the results have been positive and beneficial to consumers.</w:t>
      </w:r>
    </w:p>
    <w:p>
      <w:pPr>
        <w:pStyle w:val="Normal"/>
        <w:spacing w:lineRule="auto" w:line="480"/>
        <w:jc w:val="both"/>
        <w:rPr/>
      </w:pPr>
      <w:r>
        <w:rPr/>
        <w:tab/>
        <w:t>The Commission itself has recognized that because of changes occurring at the local distribution company level with state unbundling efforts it is sometimes difficult to solicit from traditional capacity holders precedent agreements or contracts to support needed new infrastructure.  Marketing companies have become more and more important to support such new infrastructure.  In addition to the state of flux in which local distribution companies currently find themselves, the electric generation market, with its long lead time, is not always ready, willing and able to commit to capacity at the time needed in order to file a certificate application for pipeline facilities to be in place to serve such markets.  Marketers, including marketing affiliates, can fill the gap, although the risk is on such marketers when they do so.</w:t>
      </w:r>
    </w:p>
    <w:p>
      <w:pPr>
        <w:pStyle w:val="Normal"/>
        <w:spacing w:lineRule="auto" w:line="480"/>
        <w:jc w:val="both"/>
        <w:rPr/>
      </w:pPr>
      <w:r>
        <w:rPr/>
        <w:tab/>
        <w:t>The Notice also asks whether there should be changes in open-season bidding evaluations to break up large capacity packages.  Again, any such limitation on open-season bidding would simply impose an artificial limitation on competition.  No reason is offered in the Notice as to why it would be beneficial to change open season bidding evaluations to break up large capacity packages.  Those packages should be available equally to affiliates and non-affiliates.  With the availability of flexible point rights and segmentation, it is often attractive to a marketer to establish a large capacity package and utilize these flexible rights to access a number of markets.  Of course, the holder of the capacity is at risk if it cannot utilize the capacity because the marketer has been unable to contract with wholesalers or end users.  Conversely, breaking up large capacities could deprive end users of the ability to lessen transaction costs by dealing with a single seller of gas.</w:t>
      </w:r>
    </w:p>
    <w:p>
      <w:pPr>
        <w:pStyle w:val="Normal"/>
        <w:spacing w:lineRule="auto" w:line="480"/>
        <w:jc w:val="both"/>
        <w:rPr/>
      </w:pPr>
      <w:r>
        <w:rPr/>
        <w:tab/>
        <w:t xml:space="preserve">On balance, the benefits of permitting marketing affiliates to deal with their affiliate interstate pipelines on the same basis as all other shippers out weigh the cost to consumers of restricting marketing affiliates ability to acquire capacity on their affiliated interstate pipeline companies.  Any such restrictions only reduce competition for capacity to the detriment of consumers.  The Commission has indeed recognized this very fact heretofore. </w:t>
      </w:r>
      <w:r>
        <w:rPr>
          <w:b/>
        </w:rPr>
        <w:t>[Authority to come.]</w:t>
      </w:r>
    </w:p>
    <w:p>
      <w:pPr>
        <w:pStyle w:val="Normal"/>
        <w:spacing w:lineRule="auto" w:line="480"/>
        <w:jc w:val="both"/>
        <w:rPr/>
      </w:pPr>
      <w:r>
        <w:rPr/>
        <w:tab/>
      </w:r>
      <w:r>
        <w:rPr>
          <w:b/>
        </w:rPr>
        <w:t>C.</w:t>
        <w:tab/>
        <w:t>Divestiture.</w:t>
      </w:r>
    </w:p>
    <w:p>
      <w:pPr>
        <w:pStyle w:val="Normal"/>
        <w:spacing w:lineRule="auto" w:line="480"/>
        <w:jc w:val="both"/>
        <w:rPr/>
      </w:pPr>
      <w:r>
        <w:rPr/>
        <w:tab/>
        <w:t xml:space="preserve">The Notice asks for comments concerning whether it should require interstate pipelines to divest marketing affiliates.  This same proposal is made in the original notice of proposed rulemaking which lead to the promulgation of Order No. 497 and was soundly rejected therein and that rejection was approved by the United States Court of Appeals for the District of Columbia Circuit in </w:t>
      </w:r>
      <w:r>
        <w:rPr>
          <w:i/>
        </w:rPr>
        <w:t>Tenneco Inc. v. FPC</w:t>
      </w:r>
      <w:r>
        <w:rPr>
          <w:rStyle w:val="FootnoteReference"/>
          <w:i/>
          <w:vertAlign w:val="superscript"/>
        </w:rPr>
        <w:footnoteReference w:id="19"/>
      </w:r>
      <w:r>
        <w:rPr/>
        <w:t>.  The reason for the rejection at the time was that on the whole the benefits of permitting affiliates to engage in competition against non-affiliates was to the benefit of consumers and in contrast the cost of divestiture of affiliates would be the probable elimination of competitors from the market.  Given the increasing transparency of the market with increased reporting requirements under Order No. 637 and the rules already in place governing transactions with affiliates, as well as the overlay of the Natural Gas Act prohibition against undue discrimination and undue preferences the drastic approach of divestiture is entirely unwarranted.  There are already substantial curbs, many of which actually benefit competitors of marketing affiliates, in place to ensure that any issues regarding marketing affiliates will be both found and addressed in a timely manner.  The Commission’s expedited complaint process, as well as its formalization of the hotline procedures, were designed in part to aid this process.  To INGAA’s knowledge, there have been very few such complaints.</w:t>
      </w:r>
    </w:p>
    <w:p>
      <w:pPr>
        <w:pStyle w:val="Normal"/>
        <w:spacing w:lineRule="auto" w:line="480"/>
        <w:jc w:val="both"/>
        <w:rPr/>
      </w:pPr>
      <w:r>
        <w:rPr/>
        <w:tab/>
        <w:t>The fact is that the Commission has already imposed substantial restrictions on interstate pipelines dealing with marketing affiliates, as well as very substantial requirements that interstate pipelines operate on a transparent basis.  Other regulated industries in which there is a concern about affiliate favoritism are subject to far less restrictive regulations than those employed by the Commission for the gas pipeline industry.  Just by way of example, the Commission regulates the liquid petroleum pipeline industry under the Interstate Commerce Act.  The petroleum industry is, of course, highly integrated and integrated companies often own petroleum pipelines and are often the principal shipper on those lines.  The FERC’s regulations of affiliate relations in the liquid petroleum industry have been extremely light-handed.</w:t>
      </w:r>
      <w:r>
        <w:rPr>
          <w:rStyle w:val="FootnoteReference"/>
          <w:vertAlign w:val="superscript"/>
        </w:rPr>
        <w:footnoteReference w:id="20"/>
      </w:r>
      <w:r>
        <w:rPr/>
        <w:t xml:space="preserve">  Multi-service financial institutions are required to create “firewalls” between investment banking and trading activities to prevent the misuse of nonpublic information and avoid liability under security laws.</w:t>
      </w:r>
      <w:r>
        <w:rPr>
          <w:rStyle w:val="FootnoteReference"/>
          <w:vertAlign w:val="superscript"/>
        </w:rPr>
        <w:footnoteReference w:id="21"/>
      </w:r>
      <w:r>
        <w:rPr/>
        <w:t xml:space="preserve">  In the telecommunications industry, the Bell operating companies are required to obey certain non-discriminatory requirements.</w:t>
      </w:r>
      <w:r>
        <w:rPr>
          <w:rStyle w:val="FootnoteReference"/>
          <w:vertAlign w:val="superscript"/>
        </w:rPr>
        <w:footnoteReference w:id="22"/>
      </w:r>
      <w:r>
        <w:rPr/>
        <w:t xml:space="preserve">  In these other contexts, the restrictions on affiliate relations have not been as broad or as burdensome as those imposed by the Commission on the gas industry, let alone requiring divestiture in the absence of hard evidence of costs as determined under the antitrust laws versus benefits.</w:t>
      </w:r>
    </w:p>
    <w:p>
      <w:pPr>
        <w:pStyle w:val="Normal"/>
        <w:spacing w:lineRule="auto" w:line="480"/>
        <w:jc w:val="both"/>
        <w:rPr/>
      </w:pPr>
      <w:r>
        <w:rPr/>
        <w:tab/>
        <w:t>The truth is that significant competition exists with respect to many interstate natural gas pipelines and for all gas marketing services.  Competition makes regulation less necessary and it makes the effects of unequal regulation more harmful.  Unequal regulation leads to market distortions.  The existence of competition makes it critical that the FERC proceed cautiously in imposing additional regulatory burdens, including the very drastic remedy of divestiture.</w:t>
      </w:r>
    </w:p>
    <w:p>
      <w:pPr>
        <w:pStyle w:val="VEBodyText"/>
        <w:spacing w:lineRule="auto" w:line="480" w:before="0" w:after="0"/>
        <w:ind w:firstLine="720" w:end="0"/>
        <w:rPr>
          <w:b/>
        </w:rPr>
      </w:pPr>
      <w:r>
        <w:rPr>
          <w:b/>
        </w:rPr>
        <w:t>D.</w:t>
        <w:tab/>
        <w:t>The Gas and Electric Industries Should be Treated Differently.</w:t>
      </w:r>
    </w:p>
    <w:p>
      <w:pPr>
        <w:pStyle w:val="VEBodyText"/>
        <w:spacing w:lineRule="auto" w:line="480" w:before="0" w:after="0"/>
        <w:rPr/>
      </w:pPr>
      <w:r>
        <w:rPr/>
        <w:tab/>
        <w:t>The Commission asked “whether there should continue to be distinctions in the treatment of affiliate relationships, and ownership rules, between the gas and electric utilities.”</w:t>
      </w:r>
      <w:r>
        <w:rPr>
          <w:rStyle w:val="FootnoteCharacters"/>
          <w:rStyle w:val="FootnoteReference"/>
        </w:rPr>
        <w:footnoteReference w:id="23"/>
      </w:r>
      <w:r>
        <w:rPr/>
        <w:t xml:space="preserve">  INGAA strongly believes that natural gas and electric transmission activities should not be subjected to the same ownership and affiliate rules.  In particular, Independent System Operators (“ISOs”) should not be mandated for natural gas pipeline companies.</w:t>
      </w:r>
    </w:p>
    <w:p>
      <w:pPr>
        <w:pStyle w:val="VEBodyText"/>
        <w:spacing w:lineRule="auto" w:line="480" w:before="0" w:after="0"/>
        <w:ind w:firstLine="720" w:end="0"/>
        <w:rPr/>
      </w:pPr>
      <w:r>
        <w:rPr/>
        <w:t>Different treatment of the gas transmission and electric industry is warranted for at least three reasons.  First, the business history and economic structure of the two industries are fundamentally different in ways that make the application of the ownership and affiliate rules being developed for the electric industry to natural gas pipelines totally inappropriate.  Second, because of these differences, the imposition of the electric industry rules on the gas pipeline industry will actually reduce rather than increase competition.  Thirdly, certain of the electric industry ownership and affiliate rules, particularly the ISO concept, is an unorthodox and largely untested creation of very recent regulatory initiatives in the electric industry.  The ISO concept was developed to address conditions peculiar to the electric industry that cannot automatically be applied to other industries.</w:t>
      </w:r>
    </w:p>
    <w:p>
      <w:pPr>
        <w:pStyle w:val="VEBodyText"/>
        <w:spacing w:lineRule="auto" w:line="480" w:before="0" w:after="0"/>
        <w:rPr/>
      </w:pPr>
      <w:r>
        <w:rPr/>
        <w:tab/>
        <w:t>With relatively few exceptions, the electric transmission infrastructure was not built to facilitate the long distance transmission of power across multiple electric service territories.  Rather, electric transmission assets were an integral part of vertically integrated systems that included power production and distribution.  Electric transmission facilities, as a general matter, were intended to facilitate the overall efficiency of the integrated utilities generation and distribution activities.  The historic physical characteristic of the electric industry that resulted has meant that electric transmission lines were generally not built to wheel power over long distances across multiple service territories.  In this historic context the aggregation of electric transmission systems by the use of the ISOs concept, particularly as an element of a properly structured RTO, may allow the efficient transmission of power across longer distances than was historically the case.</w:t>
      </w:r>
    </w:p>
    <w:p>
      <w:pPr>
        <w:pStyle w:val="VEBodyText"/>
        <w:spacing w:lineRule="auto" w:line="480" w:before="0" w:after="0"/>
        <w:rPr/>
      </w:pPr>
      <w:r>
        <w:rPr/>
        <w:tab/>
        <w:t>In contrast, interstate pipelines were structured originally as long line transmission systems.  They were built to transport gas from the point of production to a remote market.  Gas pipelines are, consequently, much more like petroleum pipelines than electric transmission.</w:t>
      </w:r>
    </w:p>
    <w:p>
      <w:pPr>
        <w:pStyle w:val="VEBodyText"/>
        <w:spacing w:lineRule="auto" w:line="480" w:before="0" w:after="0"/>
        <w:rPr/>
      </w:pPr>
      <w:r>
        <w:rPr/>
        <w:tab/>
        <w:t>Gas pipelines have the potential and often do compete in both origin and destination markets served by alternative gas pipelines as well as other alternatives, such as storage, LNG and peak sharing systems.  Both this Commission and the antitrust courts have recognized the potential for pipeline competition.  The creation of conditions for realizing this potential has been an essential principle of the Commission’s regulatory initiatives over the last fifteen years.</w:t>
      </w:r>
      <w:r>
        <w:rPr>
          <w:rStyle w:val="FootnoteCharacters"/>
          <w:rStyle w:val="FootnoteReference"/>
        </w:rPr>
        <w:footnoteReference w:id="24"/>
      </w:r>
      <w:r>
        <w:rPr/>
        <w:t xml:space="preserve">  Gas pipeline mergers and acquisitions have been closely scrutinized by the antitrust agencies and courts in order to assure that potential, and actual, competition is preserved.</w:t>
      </w:r>
      <w:r>
        <w:rPr>
          <w:rStyle w:val="FootnoteCharacters"/>
          <w:rStyle w:val="FootnoteReference"/>
        </w:rPr>
        <w:footnoteReference w:id="25"/>
      </w:r>
    </w:p>
    <w:p>
      <w:pPr>
        <w:pStyle w:val="VEBodyText"/>
        <w:spacing w:lineRule="auto" w:line="480" w:before="0" w:after="0"/>
        <w:rPr/>
      </w:pPr>
      <w:r>
        <w:rPr/>
        <w:tab/>
        <w:t>Operational differences also exist between the two industries.  In contrast to electricity, natural gas can be physically inventoried in storage facilities or in the pipeline itself (</w:t>
      </w:r>
      <w:r>
        <w:rPr>
          <w:i/>
        </w:rPr>
        <w:t>i.e.</w:t>
      </w:r>
      <w:r>
        <w:rPr/>
        <w:t>, line pack) so that pipelines have operational flexibility to respond to swings in demand and to accommodate imbalances between system receipts and deliveries.  Because gas takes time to reach its destination, pipelines use other operational tools in order to provide the reliable and secure physical movement of gas molecules to their customers.</w:t>
      </w:r>
    </w:p>
    <w:p>
      <w:pPr>
        <w:pStyle w:val="VEBodyText"/>
        <w:spacing w:lineRule="auto" w:line="480" w:before="0" w:after="0"/>
        <w:rPr/>
      </w:pPr>
      <w:r>
        <w:rPr/>
        <w:tab/>
        <w:t>Electric energy, on the other hand, is produced, transmitted, and distributed instantaneously.  Electricity flows cannot be stored in any significant amount; therefore, electric utilities must respond to swings in load (demand) in real time.  Utilities must balance the amount of energy being generated, at any instant in time, with the amount of energy being used.  This physical characteristic of electricity creates real time system security and reliability requirements that are completely different from those in the gas industry.  As a result, the standards of conduct for electric utilities expressly allow transmission providers to take “whatever steps are necessary to keep the system in operation” in emergency circumstances.</w:t>
      </w:r>
      <w:r>
        <w:rPr>
          <w:rStyle w:val="FootnoteCharacters"/>
          <w:rStyle w:val="FootnoteReference"/>
        </w:rPr>
        <w:footnoteReference w:id="26"/>
      </w:r>
      <w:r>
        <w:rPr/>
        <w:t xml:space="preserve">  No parallel provision exists in the gas regulations.</w:t>
      </w:r>
    </w:p>
    <w:p>
      <w:pPr>
        <w:pStyle w:val="VEBodyText"/>
        <w:spacing w:lineRule="auto" w:line="480" w:before="0" w:after="0"/>
        <w:rPr/>
      </w:pPr>
      <w:r>
        <w:rPr/>
        <w:tab/>
        <w:t xml:space="preserve">These differences have significant practical and regulatory consequences.  For example, in Order No. 888, the Commission adopted a cost-causation approach to stranded costs in the electric industry.  This approach was substantially different from its treatment of the take-or-pay problem in the gas pipeline industry, where it had applied a cost spreading approach.  The difference in treatment it ruled, was justified by the different stage of each industry’s transition to competition, </w:t>
      </w:r>
      <w:r>
        <w:rPr>
          <w:i/>
        </w:rPr>
        <w:t>i.e.</w:t>
      </w:r>
      <w:r>
        <w:rPr/>
        <w:t>, “the difference between gas restructuring and the situation in the electric industry.”</w:t>
      </w:r>
      <w:r>
        <w:rPr>
          <w:rStyle w:val="FootnoteCharacters"/>
          <w:rStyle w:val="FootnoteReference"/>
        </w:rPr>
        <w:footnoteReference w:id="27"/>
      </w:r>
    </w:p>
    <w:p>
      <w:pPr>
        <w:pStyle w:val="VEBodyText"/>
        <w:spacing w:lineRule="auto" w:line="480" w:before="0" w:after="0"/>
        <w:ind w:firstLine="720" w:end="0"/>
        <w:rPr/>
      </w:pPr>
      <w:r>
        <w:rPr/>
        <w:t>These many differences in the electric and gas industries mean that the two industries cannot reasonably be treated the same with respect to affiliate issues.  For example, it may be argued that an ISO, which coordinates all of the electric transmission in the PJM, may actually facilitate competition, given the structure of the transmission lines in that region.  In dramatic contrast, an ISO that involved coordinating the activities of all the pipelines in the same Pennsylvania, New Jersey and Maryland area would be profoundly anticompetitive.  Presumably, the pipeline “ISO,” rather than market forces, would control and coordinate the activities of the pipeline competitors in that area.  This would reduce choice, create subsidies among competitors and reduce competition.  It would be unimaginable in today’s environment to create a common controller of all the petroleum pipelines, trains or trucks in a geographic region to a single controller because it would be obviously anticompetitive.  By like token, creating an ISO to control the gas pipelines is simply  not appropriate.</w:t>
      </w:r>
    </w:p>
    <w:p>
      <w:pPr>
        <w:pStyle w:val="VEBodyText"/>
        <w:spacing w:lineRule="auto" w:line="480" w:before="0" w:after="0"/>
        <w:rPr/>
      </w:pPr>
      <w:r>
        <w:rPr/>
        <w:tab/>
        <w:t>ISOs are an unorthodox, relatively new business concept that make sense, if at all, only to address the unique historical issues associated with attempting to restructure the electric industry.  The basic premise of the ISO concept is that it is necessary to divorce the control of transmission assets from the financial ownership and risk related to those assets.  Divorcing control of assets from financial ownership and risk is not a business approach often found in a free market economy.  Decisions about expansion, maintenance and other investments and expenditures can only efficiently be made by the entity which has an economic interest in the assets.  How, for example, would the ISO deal with the issue of developing markets and financing a new pipeline to serve California?  Obviously, it could not.</w:t>
      </w:r>
    </w:p>
    <w:p>
      <w:pPr>
        <w:pStyle w:val="VEBodyText"/>
        <w:spacing w:lineRule="auto" w:line="480" w:before="0" w:after="0"/>
        <w:ind w:firstLine="720" w:end="0"/>
        <w:rPr/>
      </w:pPr>
      <w:r>
        <w:rPr/>
        <w:t>Some may argue that as gas pipelines and electric utilities converge into “energy” companies, a single standard of conduct or a single structural approach, such as ISOs, should be imposed.  This is, however, simply not the case.  The Commission already treats petroleum pipelines very differently.  The gas and electric industries have their own unique histories and structures.  They need not and should not be treated the same.</w:t>
      </w:r>
    </w:p>
    <w:p>
      <w:pPr>
        <w:pStyle w:val="VEBodyText"/>
        <w:spacing w:lineRule="auto" w:line="480" w:before="0" w:after="0"/>
        <w:ind w:firstLine="720" w:end="0"/>
        <w:rPr/>
      </w:pPr>
      <w:r>
        <w:rPr/>
        <w:t>From a purely operation standpoint, gas and electric transmission are quite distinct.  Operating personnel on the electric side do not have responsibility for gas activities, and vice versa.  From a business standpoint, it would be highly inefficient and impractical to assign dual gas and electric responsibilities to the same individuals except at executive levels not involving the day-to-day operations.</w:t>
      </w:r>
      <w:r>
        <w:rPr>
          <w:rStyle w:val="FootnoteCharacters"/>
          <w:rStyle w:val="FootnoteReference"/>
        </w:rPr>
        <w:footnoteReference w:id="28"/>
      </w:r>
    </w:p>
    <w:p>
      <w:pPr>
        <w:pStyle w:val="VEBodyText"/>
        <w:spacing w:lineRule="auto" w:line="480" w:before="0" w:after="0"/>
        <w:rPr/>
      </w:pPr>
      <w:r>
        <w:rPr/>
        <w:tab/>
        <w:t>From the Commission’s standpoint, there would be little administrative efficiency in combining the two sets of standards.  The existence of two separate standards tailored to the characteristics of the two distinct industries has allowed the Commission the flexibility to develop clear, industry-specific jurisprudence and rules providing day-to-day guidance not only for the Commission staff, but the managers and operating personnel of the regulated companies.</w:t>
      </w:r>
      <w:r>
        <w:rPr>
          <w:rStyle w:val="FootnoteCharacters"/>
          <w:rStyle w:val="FootnoteReference"/>
        </w:rPr>
        <w:footnoteReference w:id="29"/>
      </w:r>
      <w:r>
        <w:rPr/>
        <w:t xml:space="preserve">  That process should continue.</w:t>
      </w:r>
    </w:p>
    <w:p>
      <w:pPr>
        <w:pStyle w:val="VEBodyText"/>
        <w:spacing w:lineRule="auto" w:line="480" w:before="0" w:after="0"/>
        <w:rPr/>
      </w:pPr>
      <w:r>
        <w:rPr/>
        <w:tab/>
        <w:t>To develop a uniform standard applicable to both industries would not only present an extremely complex drafting problem, but would also require an elaborate system of waivers and exceptions to accommodate the variances in the industries.  Such a rule would not promote the Commission’s ultimate goal of providing understandable guidelines for the promotion of competition and rules that will provide regulatory certainty.  It would lead to inefficiency and potentially an actual lessening of competition.  For all of these reasons, the Commission should not apply the same ownership and affiliate rules to the electric transmission and interstate natural gas industries.</w:t>
      </w:r>
    </w:p>
    <w:p>
      <w:pPr>
        <w:pStyle w:val="VEBodyText"/>
        <w:spacing w:lineRule="auto" w:line="480" w:before="0" w:after="0"/>
        <w:rPr/>
      </w:pPr>
      <w:r>
        <w:rPr/>
      </w:r>
    </w:p>
    <w:sectPr>
      <w:footerReference w:type="default" r:id="rId2"/>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Notice at 5-6.</w:t>
      </w:r>
    </w:p>
  </w:footnote>
  <w:footnote w:id="3">
    <w:p>
      <w:pPr>
        <w:pStyle w:val="VEBodyTextFLI"/>
        <w:spacing w:before="0" w:after="0"/>
        <w:ind w:hanging="0" w:end="0"/>
        <w:rPr>
          <w:rStyle w:val="FootnoteCharacters"/>
          <w:sz w:val="22"/>
        </w:rPr>
      </w:pPr>
      <w:r>
        <w:rPr>
          <w:rStyle w:val="FootnoteCharacters"/>
        </w:rPr>
        <w:footnoteRef/>
      </w:r>
      <w:r>
        <w:rPr/>
      </w:r>
    </w:p>
    <w:p>
      <w:pPr>
        <w:pStyle w:val="VEBodyTextFLI"/>
        <w:spacing w:before="0" w:after="0"/>
        <w:ind w:hanging="0" w:start="720" w:end="720"/>
        <w:rPr>
          <w:sz w:val="22"/>
        </w:rPr>
      </w:pPr>
      <w:r>
        <w:rPr>
          <w:sz w:val="22"/>
        </w:rPr>
        <w:t>[T]he Commission has also adopted the “least competitively restrictive alternative test” which requires consideration of (1) any negative restrictions on competition and (2) the scope and duration of the restrictions, (3) whether an advantage to the public interest exists, (4) whether any alternative courses of action are available, and (5) if there are no alternatives, whether the offending provision is severable.</w:t>
      </w:r>
    </w:p>
    <w:p>
      <w:pPr>
        <w:pStyle w:val="VEBodyTextFLI"/>
        <w:spacing w:before="0" w:after="0"/>
        <w:ind w:hanging="0" w:end="0"/>
        <w:rPr>
          <w:i/>
          <w:i/>
          <w:sz w:val="22"/>
        </w:rPr>
      </w:pPr>
      <w:r>
        <w:rPr>
          <w:i/>
          <w:sz w:val="22"/>
        </w:rPr>
      </w:r>
    </w:p>
    <w:p>
      <w:pPr>
        <w:pStyle w:val="VEBodyTextFLI"/>
        <w:spacing w:before="0" w:after="0"/>
        <w:ind w:hanging="0" w:end="0"/>
        <w:rPr/>
      </w:pPr>
      <w:r>
        <w:rPr>
          <w:i/>
          <w:sz w:val="22"/>
        </w:rPr>
        <w:t>Inquiry Into Alleged Anticompetitive Practices Related To Marketing Affiliates of Interstate Pipelines</w:t>
      </w:r>
      <w:r>
        <w:rPr>
          <w:sz w:val="22"/>
        </w:rPr>
        <w:t>, 51 Fed. Reg. 41982, 41984 (1986).</w:t>
      </w:r>
    </w:p>
    <w:p>
      <w:pPr>
        <w:pStyle w:val="FootnoteText"/>
        <w:rPr>
          <w:sz w:val="22"/>
        </w:rPr>
      </w:pPr>
      <w:r>
        <w:rPr>
          <w:sz w:val="22"/>
        </w:rPr>
      </w:r>
    </w:p>
  </w:footnote>
  <w:footnote w:id="4">
    <w:p>
      <w:pPr>
        <w:pStyle w:val="FootnoteText"/>
        <w:rPr/>
      </w:pPr>
      <w:r>
        <w:rPr>
          <w:rStyle w:val="FootnoteCharacters"/>
        </w:rPr>
        <w:footnoteRef/>
      </w:r>
      <w:r>
        <w:rPr>
          <w:sz w:val="22"/>
        </w:rPr>
        <w:t>Final Order No. 566-A, Standards of Conduct and Reporting Requirements for Transportation and Affiliate Transactions [Regs. Preambles 1991-1996) III F.E.R.C. Stats. &amp; Regs. ¶ 31,125 (1994).</w:t>
      </w:r>
    </w:p>
  </w:footnote>
  <w:footnote w:id="5">
    <w:p>
      <w:pPr>
        <w:pStyle w:val="FootnoteText"/>
        <w:rPr>
          <w:sz w:val="22"/>
        </w:rPr>
      </w:pPr>
      <w:r>
        <w:rPr>
          <w:rStyle w:val="FootnoteCharacters"/>
        </w:rPr>
        <w:footnoteRef/>
      </w:r>
      <w:r>
        <w:rPr>
          <w:sz w:val="22"/>
        </w:rPr>
      </w:r>
    </w:p>
    <w:p>
      <w:pPr>
        <w:pStyle w:val="FootnoteText"/>
        <w:rPr/>
      </w:pPr>
      <w:r>
        <w:rPr>
          <w:rStyle w:val="FootnoteCharacters"/>
          <w:sz w:val="22"/>
        </w:rPr>
        <w:t>?</w:t>
      </w:r>
      <w:r>
        <w:rPr>
          <w:sz w:val="22"/>
        </w:rPr>
        <w:t>Department of Justice, Comments on Rulemaking on Anticompetitive Practices of Marketing Affiliates, Docket No. RM87</w:t>
        <w:noBreakHyphen/>
        <w:t>5</w:t>
        <w:noBreakHyphen/>
        <w:t>000 (July 24, 1987).</w:t>
      </w:r>
    </w:p>
  </w:footnote>
  <w:footnote w:id="6">
    <w:p>
      <w:pPr>
        <w:pStyle w:val="FootnoteText"/>
        <w:rPr>
          <w:i/>
          <w:i/>
          <w:sz w:val="22"/>
        </w:rPr>
      </w:pPr>
      <w:r>
        <w:rPr>
          <w:rStyle w:val="FootnoteCharacters"/>
        </w:rPr>
        <w:footnoteRef/>
      </w:r>
      <w:r>
        <w:rPr>
          <w:i/>
          <w:sz w:val="22"/>
        </w:rPr>
      </w:r>
    </w:p>
    <w:p>
      <w:pPr>
        <w:pStyle w:val="FootnoteText"/>
        <w:rPr/>
      </w:pPr>
      <w:r>
        <w:rPr>
          <w:rStyle w:val="FootnoteCharacters"/>
          <w:sz w:val="22"/>
        </w:rPr>
        <w:t>?</w:t>
      </w:r>
      <w:r>
        <w:rPr>
          <w:i/>
          <w:sz w:val="22"/>
        </w:rPr>
        <w:t>Id</w:t>
      </w:r>
      <w:r>
        <w:rPr>
          <w:sz w:val="22"/>
        </w:rPr>
        <w:t>. at 7.</w:t>
      </w:r>
    </w:p>
  </w:footnote>
  <w:footnote w:id="7">
    <w:p>
      <w:pPr>
        <w:pStyle w:val="FootnoteText"/>
        <w:rPr>
          <w:sz w:val="22"/>
        </w:rPr>
      </w:pPr>
      <w:r>
        <w:rPr>
          <w:rStyle w:val="FootnoteCharacters"/>
        </w:rPr>
        <w:footnoteRef/>
      </w:r>
      <w:r>
        <w:rPr>
          <w:sz w:val="22"/>
        </w:rPr>
      </w:r>
    </w:p>
    <w:p>
      <w:pPr>
        <w:pStyle w:val="FootnoteText"/>
        <w:rPr>
          <w:sz w:val="22"/>
        </w:rPr>
      </w:pPr>
      <w:r>
        <w:rPr>
          <w:rStyle w:val="FootnoteCharacters"/>
          <w:sz w:val="22"/>
        </w:rPr>
        <w:t>?</w:t>
      </w:r>
    </w:p>
    <w:p>
      <w:pPr>
        <w:pStyle w:val="Normal"/>
        <w:ind w:start="720" w:end="720"/>
        <w:jc w:val="both"/>
        <w:rPr/>
      </w:pPr>
      <w:r>
        <w:rPr>
          <w:sz w:val="22"/>
        </w:rPr>
        <w:t xml:space="preserve">It shall be unlawful for any common carrier subject to the provisions of this chapter, or any officer, agent, or employee of such common carrier, or for any other person or corporation lawfully authorized by such common carrier to receive information therefrom, knowingly to disclose to or permit to be acquired by any person or corporation other than the shipper or consignee, without the consent of such shipper or consignee, any information concerning the nature, kind, quantity, destination, consignee, or routing of any property tendered or delivered to such common carrier for interstate transportation, which information may be used to the </w:t>
      </w:r>
      <w:r>
        <w:rPr>
          <w:i/>
          <w:sz w:val="22"/>
        </w:rPr>
        <w:t>detriment or prejudice of such shipper or consignee</w:t>
      </w:r>
      <w:r>
        <w:rPr>
          <w:sz w:val="22"/>
        </w:rPr>
        <w:t xml:space="preserve">, or which may improperly </w:t>
      </w:r>
      <w:r>
        <w:rPr>
          <w:i/>
          <w:sz w:val="22"/>
        </w:rPr>
        <w:t>disclose his business transactions to a competitor</w:t>
      </w:r>
      <w:r>
        <w:rPr>
          <w:sz w:val="22"/>
        </w:rPr>
        <w:t>; and it shall also be unlawful for any person or corporation to solicit or knowingly receive any such information which may be so used.</w:t>
      </w:r>
    </w:p>
    <w:p>
      <w:pPr>
        <w:pStyle w:val="Normal"/>
        <w:ind w:start="720" w:end="720"/>
        <w:jc w:val="both"/>
        <w:rPr>
          <w:sz w:val="22"/>
        </w:rPr>
      </w:pPr>
      <w:r>
        <w:rPr>
          <w:sz w:val="22"/>
        </w:rPr>
      </w:r>
    </w:p>
    <w:p>
      <w:pPr>
        <w:pStyle w:val="Normal"/>
        <w:jc w:val="both"/>
        <w:rPr>
          <w:sz w:val="22"/>
        </w:rPr>
      </w:pPr>
      <w:r>
        <w:rPr>
          <w:sz w:val="22"/>
        </w:rPr>
        <w:t>49 U.S.C. § 15(13) (emphasis added).</w:t>
      </w:r>
    </w:p>
    <w:p>
      <w:pPr>
        <w:pStyle w:val="FootnoteText"/>
        <w:rPr>
          <w:sz w:val="22"/>
        </w:rPr>
      </w:pPr>
      <w:r>
        <w:rPr>
          <w:sz w:val="22"/>
        </w:rPr>
      </w:r>
    </w:p>
  </w:footnote>
  <w:footnote w:id="8">
    <w:p>
      <w:pPr>
        <w:pStyle w:val="FootnoteText"/>
        <w:rPr>
          <w:sz w:val="22"/>
        </w:rPr>
      </w:pPr>
      <w:r>
        <w:rPr>
          <w:rStyle w:val="FootnoteCharacters"/>
        </w:rPr>
        <w:footnoteRef/>
      </w:r>
      <w:r>
        <w:rPr>
          <w:sz w:val="22"/>
        </w:rPr>
      </w:r>
    </w:p>
    <w:p>
      <w:pPr>
        <w:pStyle w:val="FootnoteText"/>
        <w:jc w:val="both"/>
        <w:rPr/>
      </w:pPr>
      <w:r>
        <w:rPr>
          <w:rStyle w:val="FootnoteCharacters"/>
          <w:sz w:val="22"/>
        </w:rPr>
        <w:t>?</w:t>
      </w:r>
      <w:r>
        <w:rPr>
          <w:sz w:val="22"/>
        </w:rPr>
        <w:t xml:space="preserve">See </w:t>
      </w:r>
      <w:r>
        <w:rPr>
          <w:i/>
          <w:sz w:val="22"/>
        </w:rPr>
        <w:t>South Timbalier Pipeline System</w:t>
      </w:r>
      <w:r>
        <w:rPr>
          <w:sz w:val="22"/>
        </w:rPr>
        <w:t xml:space="preserve">, 29 FERC ¶ 61,345 (1984).  In </w:t>
      </w:r>
      <w:r>
        <w:rPr>
          <w:i/>
          <w:sz w:val="22"/>
        </w:rPr>
        <w:t>South Timbalier Pipeline Sys.</w:t>
      </w:r>
      <w:r>
        <w:rPr>
          <w:sz w:val="22"/>
        </w:rPr>
        <w:t xml:space="preserve">, the Commission clarified that its concerns in the oil pipeline industry focus on the issue of harm when it approved a Stipulation and Consent Agreement settling investigations into violations of the ICA's standards of conduct.  The Consent Agreement specifically addressed concerns over “'dual function employees,' that is those employees whose duties involve both pipeline and production related functions.”  </w:t>
      </w:r>
      <w:r>
        <w:rPr>
          <w:i/>
          <w:sz w:val="22"/>
        </w:rPr>
        <w:t>Id.</w:t>
      </w:r>
      <w:r>
        <w:rPr>
          <w:sz w:val="22"/>
        </w:rPr>
        <w:t xml:space="preserve"> at 61,729.  Under the Consent Agreement, concerns over these employees serving as a conduit were addressed by either ensuring that these employees do not have access to confidential shipper information or by requiring them to sign confidentiality agreements.</w:t>
      </w:r>
    </w:p>
    <w:p>
      <w:pPr>
        <w:pStyle w:val="FootnoteText"/>
        <w:rPr>
          <w:sz w:val="22"/>
        </w:rPr>
      </w:pPr>
      <w:r>
        <w:rPr>
          <w:sz w:val="22"/>
        </w:rPr>
      </w:r>
    </w:p>
  </w:footnote>
  <w:footnote w:id="9">
    <w:p>
      <w:pPr>
        <w:pStyle w:val="FootnoteText"/>
        <w:rPr/>
      </w:pPr>
      <w:r>
        <w:rPr>
          <w:rStyle w:val="FootnoteCharacters"/>
        </w:rPr>
        <w:footnoteRef/>
      </w:r>
      <w:r>
        <w:rPr>
          <w:sz w:val="22"/>
        </w:rPr>
        <w:t>Footnote __, supra..</w:t>
      </w:r>
    </w:p>
  </w:footnote>
  <w:footnote w:id="10">
    <w:p>
      <w:pPr>
        <w:pStyle w:val="FootnoteText"/>
        <w:rPr>
          <w:sz w:val="22"/>
        </w:rPr>
      </w:pPr>
      <w:r>
        <w:rPr>
          <w:rStyle w:val="FootnoteCharacters"/>
        </w:rPr>
        <w:footnoteRef/>
      </w:r>
      <w:r>
        <w:rPr>
          <w:sz w:val="22"/>
        </w:rPr>
      </w:r>
    </w:p>
    <w:p>
      <w:pPr>
        <w:pStyle w:val="FootnoteText"/>
        <w:rPr/>
      </w:pPr>
      <w:r>
        <w:rPr>
          <w:rStyle w:val="FootnoteCharacters"/>
          <w:sz w:val="22"/>
        </w:rPr>
        <w:t>?</w:t>
      </w:r>
      <w:r>
        <w:rPr>
          <w:sz w:val="22"/>
        </w:rPr>
        <w:t>Footnote __, supra.</w:t>
      </w:r>
    </w:p>
  </w:footnote>
  <w:footnote w:id="11">
    <w:p>
      <w:pPr>
        <w:pStyle w:val="Normal"/>
        <w:spacing w:before="0" w:after="240"/>
        <w:jc w:val="both"/>
        <w:rPr/>
      </w:pPr>
      <w:r>
        <w:rPr>
          <w:rStyle w:val="FootnoteCharacters"/>
        </w:rPr>
        <w:footnoteRef/>
      </w:r>
      <w:r>
        <w:rPr>
          <w:sz w:val="22"/>
        </w:rPr>
        <w:t xml:space="preserve"> </w:t>
      </w:r>
      <w:r>
        <w:rPr>
          <w:b/>
          <w:sz w:val="22"/>
        </w:rPr>
        <w:t>[cite]</w:t>
      </w:r>
    </w:p>
  </w:footnote>
  <w:footnote w:id="12">
    <w:p>
      <w:pPr>
        <w:pStyle w:val="Normal"/>
        <w:spacing w:before="0" w:after="240"/>
        <w:jc w:val="both"/>
        <w:rPr/>
      </w:pPr>
      <w:r>
        <w:rPr>
          <w:rStyle w:val="FootnoteCharacters"/>
        </w:rPr>
        <w:footnoteRef/>
      </w:r>
      <w:r>
        <w:rPr>
          <w:sz w:val="22"/>
        </w:rPr>
        <w:t xml:space="preserve"> </w:t>
      </w:r>
      <w:r>
        <w:rPr>
          <w:b/>
          <w:sz w:val="22"/>
        </w:rPr>
        <w:t>[cite]</w:t>
      </w:r>
    </w:p>
  </w:footnote>
  <w:footnote w:id="13">
    <w:p>
      <w:pPr>
        <w:pStyle w:val="Normal"/>
        <w:spacing w:before="0" w:after="240"/>
        <w:jc w:val="both"/>
        <w:rPr/>
      </w:pPr>
      <w:r>
        <w:rPr>
          <w:rStyle w:val="FootnoteCharacters"/>
        </w:rPr>
        <w:footnoteRef/>
      </w:r>
      <w:r>
        <w:rPr>
          <w:sz w:val="22"/>
        </w:rPr>
        <w:t xml:space="preserve"> </w:t>
      </w:r>
      <w:r>
        <w:rPr>
          <w:b/>
          <w:sz w:val="22"/>
        </w:rPr>
        <w:t>[cite]</w:t>
      </w:r>
    </w:p>
  </w:footnote>
  <w:footnote w:id="14">
    <w:p>
      <w:pPr>
        <w:pStyle w:val="Normal"/>
        <w:spacing w:before="0" w:after="240"/>
        <w:jc w:val="both"/>
        <w:rPr/>
      </w:pPr>
      <w:r>
        <w:rPr>
          <w:rStyle w:val="FootnoteCharacters"/>
        </w:rPr>
        <w:footnoteRef/>
      </w:r>
      <w:r>
        <w:rPr>
          <w:sz w:val="22"/>
        </w:rPr>
        <w:t xml:space="preserve"> </w:t>
      </w:r>
      <w:r>
        <w:rPr>
          <w:b/>
          <w:sz w:val="22"/>
        </w:rPr>
        <w:t>[cite]</w:t>
      </w:r>
    </w:p>
  </w:footnote>
  <w:footnote w:id="15">
    <w:p>
      <w:pPr>
        <w:pStyle w:val="Normal"/>
        <w:spacing w:before="0" w:after="240"/>
        <w:jc w:val="both"/>
        <w:rPr/>
      </w:pPr>
      <w:r>
        <w:rPr>
          <w:rStyle w:val="FootnoteCharacters"/>
        </w:rPr>
        <w:footnoteRef/>
      </w:r>
      <w:r>
        <w:rPr>
          <w:sz w:val="22"/>
        </w:rPr>
        <w:t xml:space="preserve"> </w:t>
      </w:r>
      <w:r>
        <w:rPr>
          <w:b/>
          <w:sz w:val="22"/>
        </w:rPr>
        <w:t>[cite]</w:t>
      </w:r>
    </w:p>
  </w:footnote>
  <w:footnote w:id="16">
    <w:p>
      <w:pPr>
        <w:pStyle w:val="Normal"/>
        <w:spacing w:before="0" w:after="240"/>
        <w:jc w:val="both"/>
        <w:rPr/>
      </w:pPr>
      <w:r>
        <w:rPr>
          <w:rStyle w:val="FootnoteCharacters"/>
        </w:rPr>
        <w:footnoteRef/>
      </w:r>
      <w:r>
        <w:rPr>
          <w:sz w:val="22"/>
        </w:rPr>
        <w:t xml:space="preserve"> </w:t>
      </w:r>
      <w:r>
        <w:rPr>
          <w:b/>
          <w:sz w:val="22"/>
        </w:rPr>
        <w:t>[list of principles]</w:t>
      </w:r>
    </w:p>
  </w:footnote>
  <w:footnote w:id="17">
    <w:p>
      <w:pPr>
        <w:pStyle w:val="Normal"/>
        <w:spacing w:before="0" w:after="240"/>
        <w:jc w:val="both"/>
        <w:rPr/>
      </w:pPr>
      <w:r>
        <w:rPr>
          <w:rStyle w:val="FootnoteCharacters"/>
        </w:rPr>
        <w:footnoteRef/>
      </w:r>
      <w:r>
        <w:rPr>
          <w:sz w:val="22"/>
        </w:rPr>
        <w:t xml:space="preserve"> </w:t>
      </w:r>
      <w:r>
        <w:rPr>
          <w:sz w:val="22"/>
        </w:rPr>
        <w:t>[cite]</w:t>
      </w:r>
    </w:p>
  </w:footnote>
  <w:footnote w:id="18">
    <w:p>
      <w:pPr>
        <w:pStyle w:val="Normal"/>
        <w:spacing w:before="0" w:after="240"/>
        <w:jc w:val="both"/>
        <w:rPr/>
      </w:pPr>
      <w:r>
        <w:rPr>
          <w:rStyle w:val="FootnoteCharacters"/>
        </w:rPr>
        <w:footnoteRef/>
      </w:r>
      <w:r>
        <w:rPr>
          <w:sz w:val="22"/>
        </w:rPr>
        <w:t xml:space="preserve"> </w:t>
      </w:r>
      <w:r>
        <w:rPr>
          <w:i/>
          <w:sz w:val="22"/>
        </w:rPr>
        <w:t>Inquiry into Alleged Anticompetitive Practices Related to Marketing Affiliates of Interstate Pipelines</w:t>
      </w:r>
      <w:r>
        <w:rPr>
          <w:sz w:val="22"/>
        </w:rPr>
        <w:t>, 51 Fed. Reg. 41982, 41984 (1986).</w:t>
      </w:r>
    </w:p>
  </w:footnote>
  <w:footnote w:id="19">
    <w:p>
      <w:pPr>
        <w:pStyle w:val="Normal"/>
        <w:spacing w:before="0" w:after="240"/>
        <w:jc w:val="both"/>
        <w:rPr/>
      </w:pPr>
      <w:r>
        <w:rPr>
          <w:rStyle w:val="FootnoteCharacters"/>
        </w:rPr>
        <w:footnoteRef/>
      </w:r>
      <w:r>
        <w:rPr>
          <w:sz w:val="22"/>
        </w:rPr>
        <w:t xml:space="preserve"> </w:t>
      </w:r>
      <w:r>
        <w:rPr>
          <w:sz w:val="22"/>
        </w:rPr>
        <w:t>969 F.2d 1187 (D.C. Cir. 1992).</w:t>
      </w:r>
    </w:p>
  </w:footnote>
  <w:footnote w:id="20">
    <w:p>
      <w:pPr>
        <w:pStyle w:val="Normal"/>
        <w:spacing w:before="0" w:after="240"/>
        <w:jc w:val="both"/>
        <w:rPr/>
      </w:pPr>
      <w:r>
        <w:rPr>
          <w:rStyle w:val="FootnoteCharacters"/>
        </w:rPr>
        <w:footnoteRef/>
      </w:r>
      <w:r>
        <w:rPr>
          <w:sz w:val="22"/>
        </w:rPr>
        <w:t xml:space="preserve"> </w:t>
      </w:r>
      <w:r>
        <w:rPr>
          <w:i/>
          <w:sz w:val="22"/>
        </w:rPr>
        <w:t>See South Timbalier Pipeline System</w:t>
      </w:r>
      <w:r>
        <w:rPr>
          <w:sz w:val="22"/>
        </w:rPr>
        <w:t>, 29 F.E.R.C. ¶ 61,345 (1984).</w:t>
      </w:r>
    </w:p>
  </w:footnote>
  <w:footnote w:id="21">
    <w:p>
      <w:pPr>
        <w:pStyle w:val="Normal"/>
        <w:spacing w:before="0" w:after="240"/>
        <w:jc w:val="both"/>
        <w:rPr/>
      </w:pPr>
      <w:r>
        <w:rPr>
          <w:rStyle w:val="FootnoteCharacters"/>
        </w:rPr>
        <w:footnoteRef/>
      </w:r>
      <w:r>
        <w:rPr>
          <w:sz w:val="22"/>
        </w:rPr>
        <w:t xml:space="preserve"> </w:t>
      </w:r>
      <w:r>
        <w:rPr>
          <w:i/>
          <w:sz w:val="22"/>
        </w:rPr>
        <w:t>Ralph C. Ferrara and Herbert C. Thomas, Creditors’ Committees and Research Developments: Chinese Walls and Related Compliance Issues</w:t>
      </w:r>
      <w:r>
        <w:rPr>
          <w:sz w:val="22"/>
        </w:rPr>
        <w:t>, 828 PLI/Corp 163, 165 (1993).</w:t>
      </w:r>
    </w:p>
  </w:footnote>
  <w:footnote w:id="22">
    <w:p>
      <w:pPr>
        <w:pStyle w:val="Normal"/>
        <w:spacing w:before="0" w:after="240"/>
        <w:jc w:val="both"/>
        <w:rPr/>
      </w:pPr>
      <w:r>
        <w:rPr>
          <w:rStyle w:val="FootnoteCharacters"/>
        </w:rPr>
        <w:footnoteRef/>
      </w:r>
      <w:r>
        <w:rPr>
          <w:sz w:val="22"/>
        </w:rPr>
        <w:t xml:space="preserve"> </w:t>
      </w:r>
      <w:r>
        <w:rPr>
          <w:sz w:val="22"/>
        </w:rPr>
        <w:t>47 U.S.C. §§ 272, 273, and 274.</w:t>
      </w:r>
    </w:p>
  </w:footnote>
  <w:footnote w:id="23">
    <w:p>
      <w:pPr>
        <w:pStyle w:val="FootnoteText"/>
        <w:jc w:val="both"/>
        <w:rPr/>
      </w:pPr>
      <w:r>
        <w:rPr>
          <w:rStyle w:val="FootnoteCharacters"/>
        </w:rPr>
        <w:footnoteRef/>
      </w:r>
      <w:r>
        <w:rPr>
          <w:sz w:val="22"/>
        </w:rPr>
        <w:t xml:space="preserve"> </w:t>
      </w:r>
      <w:r>
        <w:rPr>
          <w:sz w:val="22"/>
        </w:rPr>
        <w:t>Notice at 6.</w:t>
      </w:r>
    </w:p>
  </w:footnote>
  <w:footnote w:id="24">
    <w:p>
      <w:pPr>
        <w:pStyle w:val="FootnoteText"/>
        <w:jc w:val="both"/>
        <w:rPr/>
      </w:pPr>
      <w:r>
        <w:rPr>
          <w:rStyle w:val="FootnoteCharacters"/>
        </w:rPr>
        <w:footnoteRef/>
      </w:r>
      <w:r>
        <w:rPr>
          <w:sz w:val="22"/>
        </w:rPr>
        <w:t xml:space="preserve"> </w:t>
      </w:r>
      <w:r>
        <w:rPr>
          <w:sz w:val="22"/>
        </w:rPr>
        <w:t xml:space="preserve">Alternatives to Traditional Cost-of-Service Rulemaking for Natural Gas Pipelines, Statement of Policy and Request for Courts, 74 FERC ¶ 61,076 at p.61,230 (January 31, 1946) </w:t>
      </w:r>
      <w:r>
        <w:rPr>
          <w:i/>
          <w:sz w:val="22"/>
        </w:rPr>
        <w:t>reh’g denied</w:t>
      </w:r>
      <w:r>
        <w:rPr>
          <w:sz w:val="22"/>
        </w:rPr>
        <w:t xml:space="preserve"> _______; Certificate of New Interstate Pipeline Facilities, 88 FERC ¶ 61,227 at p.61,748 (providing competitive alternatives is an indication of public benefit).  Interstate pipelines also compete against intrastate pipelines and local distribution companies, and the Commission’s policy is to encourage such competition.  </w:t>
      </w:r>
      <w:r>
        <w:rPr>
          <w:i/>
          <w:sz w:val="22"/>
        </w:rPr>
        <w:t>See, e.g., ANR Pipeline Company</w:t>
      </w:r>
      <w:r>
        <w:rPr>
          <w:sz w:val="22"/>
        </w:rPr>
        <w:t xml:space="preserve">, 71 FERC ¶ 61,289 (1995); </w:t>
      </w:r>
      <w:r>
        <w:rPr>
          <w:i/>
          <w:sz w:val="22"/>
        </w:rPr>
        <w:t>Paiute Pipeline Company</w:t>
      </w:r>
      <w:r>
        <w:rPr>
          <w:sz w:val="22"/>
        </w:rPr>
        <w:t xml:space="preserve">, 68 FERC ¶ 61,199 (1994); </w:t>
      </w:r>
      <w:r>
        <w:rPr>
          <w:i/>
          <w:sz w:val="22"/>
        </w:rPr>
        <w:t>Northern Natural Gas Company</w:t>
      </w:r>
      <w:r>
        <w:rPr>
          <w:sz w:val="22"/>
        </w:rPr>
        <w:t>, 46 FERC ¶ 61,270 (1989).</w:t>
      </w:r>
    </w:p>
  </w:footnote>
  <w:footnote w:id="25">
    <w:p>
      <w:pPr>
        <w:pStyle w:val="FootnoteText"/>
        <w:jc w:val="both"/>
        <w:rPr>
          <w:sz w:val="22"/>
        </w:rPr>
      </w:pPr>
      <w:r>
        <w:rPr>
          <w:rStyle w:val="FootnoteCharacters"/>
        </w:rPr>
        <w:footnoteRef/>
      </w:r>
      <w:r>
        <w:rPr>
          <w:sz w:val="22"/>
        </w:rPr>
      </w:r>
    </w:p>
    <w:p>
      <w:pPr>
        <w:pStyle w:val="FootnoteText"/>
        <w:jc w:val="both"/>
        <w:rPr/>
      </w:pPr>
      <w:r>
        <w:rPr>
          <w:rStyle w:val="FootnoteCharacters"/>
          <w:sz w:val="22"/>
        </w:rPr>
        <w:t>?</w:t>
      </w:r>
      <w:r>
        <w:rPr>
          <w:sz w:val="22"/>
        </w:rPr>
        <w:t xml:space="preserve"> </w:t>
      </w:r>
      <w:r>
        <w:rPr>
          <w:i/>
          <w:sz w:val="22"/>
        </w:rPr>
        <w:t>E.G., U.S. v. El Paso Natural Gas</w:t>
      </w:r>
      <w:r>
        <w:rPr>
          <w:sz w:val="22"/>
        </w:rPr>
        <w:t xml:space="preserve">, 376 U.S. 651 (1964); </w:t>
      </w:r>
      <w:r>
        <w:rPr>
          <w:i/>
          <w:sz w:val="22"/>
        </w:rPr>
        <w:t>Federal Trade Commission v. Questar Corp.</w:t>
      </w:r>
      <w:r>
        <w:rPr>
          <w:sz w:val="22"/>
        </w:rPr>
        <w:t>, No. 2: 95CV1137S (D. Utah 1995) (FTC injunction action to bar Questar the sole gas pipeline serving Salt Lake City, from acquiring a 50 percent interest in Kern River, a potential entrant.  The transaction was abandoned after FTC sued); other FTC cities.]</w:t>
      </w:r>
    </w:p>
  </w:footnote>
  <w:footnote w:id="26">
    <w:p>
      <w:pPr>
        <w:pStyle w:val="FootnoteText"/>
        <w:rPr>
          <w:sz w:val="22"/>
        </w:rPr>
      </w:pPr>
      <w:r>
        <w:rPr>
          <w:rStyle w:val="FootnoteCharacters"/>
        </w:rPr>
        <w:footnoteRef/>
      </w:r>
      <w:r>
        <w:rPr>
          <w:sz w:val="22"/>
        </w:rPr>
      </w:r>
    </w:p>
    <w:p>
      <w:pPr>
        <w:pStyle w:val="FootnoteText"/>
        <w:rPr/>
      </w:pPr>
      <w:r>
        <w:rPr>
          <w:rStyle w:val="FootnoteCharacters"/>
          <w:sz w:val="22"/>
        </w:rPr>
        <w:t>?</w:t>
      </w:r>
      <w:r>
        <w:rPr>
          <w:sz w:val="22"/>
        </w:rPr>
        <w:t xml:space="preserve"> 18 C.F.R. 34(a)(2).</w:t>
      </w:r>
    </w:p>
  </w:footnote>
  <w:footnote w:id="27">
    <w:p>
      <w:pPr>
        <w:pStyle w:val="FootnoteText"/>
        <w:rPr>
          <w:sz w:val="22"/>
        </w:rPr>
      </w:pPr>
      <w:r>
        <w:rPr>
          <w:rStyle w:val="FootnoteCharacters"/>
        </w:rPr>
        <w:footnoteRef/>
      </w:r>
      <w:r>
        <w:rPr>
          <w:sz w:val="22"/>
        </w:rPr>
      </w:r>
    </w:p>
    <w:p>
      <w:pPr>
        <w:pStyle w:val="FootnoteText"/>
        <w:jc w:val="both"/>
        <w:rPr/>
      </w:pPr>
      <w:r>
        <w:rPr>
          <w:rStyle w:val="FootnoteCharacters"/>
          <w:sz w:val="22"/>
        </w:rPr>
        <w:t>?</w:t>
      </w:r>
      <w:r>
        <w:rPr>
          <w:sz w:val="22"/>
        </w:rPr>
        <w:t xml:space="preserve"> </w:t>
      </w:r>
      <w:r>
        <w:rPr>
          <w:i/>
          <w:sz w:val="22"/>
        </w:rPr>
        <w:t>Transmission Access Policy Study group v. FERC (TAPS) v. FERC</w:t>
      </w:r>
      <w:r>
        <w:rPr>
          <w:sz w:val="22"/>
        </w:rPr>
        <w:t>, 225 F.3d 667, 705-708, affirming this aspect of Order No. 888, FERC Stats. &amp; Regs. (preamble) at ¶ 31,048 at p. 30,349.</w:t>
      </w:r>
    </w:p>
  </w:footnote>
  <w:footnote w:id="28">
    <w:p>
      <w:pPr>
        <w:pStyle w:val="FootnoteText"/>
        <w:jc w:val="both"/>
        <w:rPr>
          <w:sz w:val="22"/>
        </w:rPr>
      </w:pPr>
      <w:r>
        <w:rPr>
          <w:rStyle w:val="FootnoteCharacters"/>
        </w:rPr>
        <w:footnoteRef/>
      </w:r>
      <w:r>
        <w:rPr>
          <w:sz w:val="22"/>
        </w:rPr>
      </w:r>
    </w:p>
    <w:p>
      <w:pPr>
        <w:pStyle w:val="FootnoteText"/>
        <w:jc w:val="both"/>
        <w:rPr/>
      </w:pPr>
      <w:r>
        <w:rPr>
          <w:rStyle w:val="FootnoteCharacters"/>
          <w:sz w:val="22"/>
        </w:rPr>
        <w:t>?</w:t>
      </w:r>
      <w:r>
        <w:rPr>
          <w:sz w:val="22"/>
        </w:rPr>
        <w:t xml:space="preserve"> Letter of the Hon. Douglas Smith, General Counsel, FERC, to William G. Von Glahn, General Counsel, The Williams Companies, Inc. (October 26, 1998).</w:t>
      </w:r>
    </w:p>
  </w:footnote>
  <w:footnote w:id="29">
    <w:p>
      <w:pPr>
        <w:pStyle w:val="FootnoteText"/>
        <w:jc w:val="both"/>
        <w:rPr>
          <w:sz w:val="22"/>
        </w:rPr>
      </w:pPr>
      <w:r>
        <w:rPr>
          <w:rStyle w:val="FootnoteCharacters"/>
        </w:rPr>
        <w:footnoteRef/>
      </w:r>
      <w:r>
        <w:rPr>
          <w:sz w:val="22"/>
        </w:rPr>
      </w:r>
    </w:p>
    <w:p>
      <w:pPr>
        <w:pStyle w:val="FootnoteText"/>
        <w:jc w:val="both"/>
        <w:rPr/>
      </w:pPr>
      <w:r>
        <w:rPr>
          <w:rStyle w:val="FootnoteCharacters"/>
          <w:sz w:val="22"/>
        </w:rPr>
        <w:t>?</w:t>
      </w:r>
      <w:r>
        <w:rPr>
          <w:sz w:val="22"/>
        </w:rPr>
        <w:t xml:space="preserve"> FERC has developed substantial case law interpreting the two existing sets of standards.  </w:t>
      </w:r>
      <w:r>
        <w:rPr>
          <w:i/>
          <w:sz w:val="22"/>
        </w:rPr>
        <w:t>See e.g. Allegheny Power Service Corporation, et al.</w:t>
      </w:r>
      <w:r>
        <w:rPr>
          <w:sz w:val="22"/>
        </w:rPr>
        <w:t xml:space="preserve"> 81 FERC ¶ 61,339; </w:t>
      </w:r>
      <w:r>
        <w:rPr>
          <w:i/>
          <w:sz w:val="22"/>
        </w:rPr>
        <w:t>Amoco Production Co., et al. v. Natural Gas Pipeline Co. of America</w:t>
      </w:r>
      <w:r>
        <w:rPr>
          <w:sz w:val="22"/>
        </w:rPr>
        <w:t xml:space="preserve">, 82 FERC ¶ 61,038; </w:t>
      </w:r>
      <w:r>
        <w:rPr>
          <w:i/>
          <w:sz w:val="22"/>
        </w:rPr>
        <w:t>Order on Rehearing</w:t>
      </w:r>
      <w:r>
        <w:rPr>
          <w:sz w:val="22"/>
        </w:rPr>
        <w:t xml:space="preserve">, 82 FERC ¶ 61,300; </w:t>
      </w:r>
      <w:r>
        <w:rPr>
          <w:i/>
          <w:sz w:val="22"/>
        </w:rPr>
        <w:t>Order on Rehearing, Reconsideration and Clarification</w:t>
      </w:r>
      <w:r>
        <w:rPr>
          <w:sz w:val="22"/>
        </w:rPr>
        <w:t>, 83 FERC ¶ 61,197 (1998).</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4">
    <w:lvl w:ilvl="0">
      <w:start w:val="1"/>
      <w:numFmt w:val="upperLetter"/>
      <w:lvlText w:val="%1."/>
      <w:lvlJc w:val="start"/>
      <w:pPr>
        <w:tabs>
          <w:tab w:val="num" w:pos="360"/>
        </w:tabs>
        <w:ind w:start="0" w:hanging="0"/>
      </w:pPr>
      <w:rPr/>
    </w:lvl>
  </w:abstractNum>
  <w:abstractNum w:abstractNumId="5">
    <w:lvl w:ilvl="0">
      <w:start w:val="1"/>
      <w:numFmt w:val="upperLetter"/>
      <w:lvlText w:val="%1."/>
      <w:lvlJc w:val="start"/>
      <w:pPr>
        <w:tabs>
          <w:tab w:val="num" w:pos="1440"/>
        </w:tabs>
        <w:ind w:start="1440" w:hanging="720"/>
      </w:pPr>
      <w:rPr/>
    </w:lvl>
  </w:abstractNum>
  <w:abstractNum w:abstractNumId="6">
    <w:lvl w:ilvl="0">
      <w:start w:val="1"/>
      <w:numFmt w:val="bullet"/>
      <w:lvlText w:val=""/>
      <w:lvlJc w:val="start"/>
      <w:pPr>
        <w:tabs>
          <w:tab w:val="num" w:pos="1440"/>
        </w:tabs>
        <w:ind w:start="1440" w:hanging="720"/>
      </w:pPr>
      <w:rPr>
        <w:rFonts w:ascii="Symbol" w:hAnsi="Symbol" w:cs="Symbol" w:hint="default"/>
      </w:rPr>
    </w:lvl>
  </w:abstractNum>
  <w:abstractNum w:abstractNumId="7">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9">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0">
    <w:lvl w:ilvl="0">
      <w:start w:val="1"/>
      <w:numFmt w:val="decimal"/>
      <w:suff w:val="nothing"/>
      <w:lvlText w:val="ARTICLE %1"/>
      <w:lvlJc w:val="start"/>
      <w:pPr>
        <w:tabs>
          <w:tab w:val="num" w:pos="0"/>
        </w:tabs>
        <w:ind w:start="0" w:hanging="0"/>
      </w:pPr>
      <w:rPr/>
    </w:lvl>
    <w:lvl w:ilvl="1">
      <w:start w:val="1"/>
      <w:isLgl/>
      <w:numFmt w:val="decimal"/>
      <w:lvlText w:val="%1.%2"/>
      <w:lvlJc w:val="start"/>
      <w:pPr>
        <w:tabs>
          <w:tab w:val="num" w:pos="720"/>
        </w:tabs>
        <w:ind w:start="0" w:hanging="0"/>
      </w:pPr>
      <w:rPr/>
    </w:lvl>
    <w:lvl w:ilvl="2">
      <w:start w:val="1"/>
      <w:numFmt w:val="lowerLetter"/>
      <w:lvlText w:val="(%3)"/>
      <w:lvlJc w:val="start"/>
      <w:pPr>
        <w:tabs>
          <w:tab w:val="num" w:pos="720"/>
        </w:tabs>
        <w:ind w:start="0" w:hanging="0"/>
      </w:pPr>
      <w:rPr/>
    </w:lvl>
    <w:lvl w:ilvl="3">
      <w:start w:val="1"/>
      <w:numFmt w:val="lowerRoman"/>
      <w:lvlText w:val="(%4)"/>
      <w:lvlJc w:val="start"/>
      <w:pPr>
        <w:tabs>
          <w:tab w:val="num" w:pos="1080"/>
        </w:tabs>
        <w:ind w:start="0" w:hanging="0"/>
      </w:pPr>
      <w:rPr/>
    </w:lvl>
    <w:lvl w:ilvl="4">
      <w:start w:val="1"/>
      <w:numFmt w:val="lowerLetter"/>
      <w:lvlText w:val="%5."/>
      <w:lvlJc w:val="start"/>
      <w:pPr>
        <w:tabs>
          <w:tab w:val="num" w:pos="360"/>
        </w:tabs>
        <w:ind w:start="0" w:hanging="0"/>
      </w:pPr>
      <w:rPr/>
    </w:lvl>
    <w:lvl w:ilvl="5">
      <w:start w:val="1"/>
      <w:numFmt w:val="decimal"/>
      <w:lvlText w:val="%1.%2.%3.%4.%5.%6."/>
      <w:lvlJc w:val="start"/>
      <w:pPr>
        <w:tabs>
          <w:tab w:val="num" w:pos="288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3960"/>
        </w:tabs>
        <w:ind w:start="3744" w:hanging="1224"/>
      </w:pPr>
      <w:rPr/>
    </w:lvl>
    <w:lvl w:ilvl="8">
      <w:start w:val="1"/>
      <w:numFmt w:val="decimal"/>
      <w:lvlText w:val="%1.%2.%3.%4.%5.%6.%7.%8.%9."/>
      <w:lvlJc w:val="start"/>
      <w:pPr>
        <w:tabs>
          <w:tab w:val="num" w:pos="4680"/>
        </w:tabs>
        <w:ind w:start="4320" w:hanging="1440"/>
      </w:pPr>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2">
    <w:lvl w:ilvl="0">
      <w:start w:val="1"/>
      <w:numFmt w:val="bullet"/>
      <w:lvlText w:val=""/>
      <w:lvlJc w:val="start"/>
      <w:pPr>
        <w:tabs>
          <w:tab w:val="num" w:pos="720"/>
        </w:tabs>
        <w:ind w:start="720" w:hanging="360"/>
      </w:pPr>
      <w:rPr>
        <w:rFonts w:ascii="Symbol" w:hAnsi="Symbol" w:cs="Symbol" w:hint="default"/>
      </w:r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13">
    <w:lvl w:ilvl="0">
      <w:start w:val="1"/>
      <w:numFmt w:val="bullet"/>
      <w:lvlText w:val=""/>
      <w:lvlJc w:val="start"/>
      <w:pPr>
        <w:tabs>
          <w:tab w:val="num" w:pos="720"/>
        </w:tabs>
        <w:ind w:start="720" w:hanging="360"/>
      </w:pPr>
      <w:rPr>
        <w:rFonts w:ascii="Symbol" w:hAnsi="Symbol" w:cs="Symbol"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9z0">
    <w:name w:val="WW8Num29z0"/>
    <w:qFormat/>
    <w:rPr>
      <w:rFonts w:ascii="Symbol" w:hAnsi="Symbol" w:cs="Symbol"/>
    </w:rPr>
  </w:style>
  <w:style w:type="character" w:styleId="WW8Num32z0">
    <w:name w:val="WW8Num32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style>
  <w:style w:type="paragraph" w:styleId="VE123List">
    <w:name w:val="VE 123 List"/>
    <w:basedOn w:val="VENormal"/>
    <w:qFormat/>
    <w:pPr>
      <w:numPr>
        <w:ilvl w:val="0"/>
        <w:numId w:val="1"/>
      </w:numPr>
      <w:spacing w:before="0" w:after="240"/>
    </w:pPr>
    <w:rPr/>
  </w:style>
  <w:style w:type="paragraph" w:styleId="VEABCList">
    <w:name w:val="VE ABC List"/>
    <w:basedOn w:val="VENormal"/>
    <w:qFormat/>
    <w:pPr>
      <w:numPr>
        <w:ilvl w:val="0"/>
        <w:numId w:val="5"/>
      </w:numPr>
      <w:tabs>
        <w:tab w:val="clear" w:pos="720"/>
      </w:tabs>
      <w:spacing w:before="0" w:after="240"/>
    </w:pPr>
    <w:rPr/>
  </w:style>
  <w:style w:type="paragraph" w:styleId="VEAlignedText">
    <w:name w:val="VE Aligned Text"/>
    <w:basedOn w:val="VENormal"/>
    <w:next w:val="Normal"/>
    <w:qFormat/>
    <w:pPr>
      <w:tabs>
        <w:tab w:val="clear" w:pos="720"/>
        <w:tab w:val="center" w:pos="4680" w:leader="none"/>
        <w:tab w:val="right" w:pos="9360" w:leader="none"/>
      </w:tabs>
    </w:pPr>
    <w:rPr/>
  </w:style>
  <w:style w:type="paragraph" w:styleId="VEBodyText1">
    <w:name w:val="VE Body Text 1"/>
    <w:basedOn w:val="VENormal"/>
    <w:next w:val="VENumbered1"/>
    <w:qFormat/>
    <w:pPr>
      <w:spacing w:before="0" w:after="240"/>
      <w:ind w:firstLine="720" w:start="0" w:end="0"/>
    </w:pPr>
    <w:rPr/>
  </w:style>
  <w:style w:type="paragraph" w:styleId="VEBodyText2">
    <w:name w:val="VE Body Text 2"/>
    <w:basedOn w:val="VENormal"/>
    <w:next w:val="VENumbered2"/>
    <w:qFormat/>
    <w:pPr>
      <w:spacing w:before="0" w:after="240"/>
      <w:ind w:firstLine="1440" w:start="0" w:end="0"/>
    </w:pPr>
    <w:rPr/>
  </w:style>
  <w:style w:type="paragraph" w:styleId="VEBodyText3">
    <w:name w:val="VE Body Text 3"/>
    <w:basedOn w:val="VENormal"/>
    <w:next w:val="VEHeading3"/>
    <w:qFormat/>
    <w:pPr>
      <w:spacing w:before="0" w:after="240"/>
      <w:ind w:firstLine="2160" w:start="0" w:end="0"/>
    </w:pPr>
    <w:rPr/>
  </w:style>
  <w:style w:type="paragraph" w:styleId="VEBodyText4">
    <w:name w:val="VE Body Text 4"/>
    <w:basedOn w:val="VENormal"/>
    <w:next w:val="VENumbered4"/>
    <w:qFormat/>
    <w:pPr>
      <w:spacing w:before="0" w:after="240"/>
      <w:ind w:firstLine="2880" w:start="0" w:end="0"/>
    </w:pPr>
    <w:rPr/>
  </w:style>
  <w:style w:type="paragraph" w:styleId="VEBodyText5">
    <w:name w:val="VE Body Text 5"/>
    <w:basedOn w:val="VENormal"/>
    <w:next w:val="VENumbered5"/>
    <w:qFormat/>
    <w:pPr/>
    <w:rPr/>
  </w:style>
  <w:style w:type="paragraph" w:styleId="VEBodyText6">
    <w:name w:val="VE Body Text 6"/>
    <w:basedOn w:val="VENormal"/>
    <w:next w:val="VENumbered6"/>
    <w:qFormat/>
    <w:pPr/>
    <w:rPr/>
  </w:style>
  <w:style w:type="paragraph" w:styleId="VEBodyText7">
    <w:name w:val="VE Body Text 7"/>
    <w:basedOn w:val="VENormal"/>
    <w:next w:val="VENumbered7"/>
    <w:qFormat/>
    <w:pPr/>
    <w:rPr/>
  </w:style>
  <w:style w:type="paragraph" w:styleId="VEBodyText8">
    <w:name w:val="VE Body Text 8"/>
    <w:basedOn w:val="VENormal"/>
    <w:next w:val="VENumbered8"/>
    <w:qFormat/>
    <w:pPr/>
    <w:rPr/>
  </w:style>
  <w:style w:type="paragraph" w:styleId="VEBodyText9">
    <w:name w:val="VE Body Text 9"/>
    <w:basedOn w:val="VENormal"/>
    <w:next w:val="VENumbered9"/>
    <w:qFormat/>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Numbered">
    <w:name w:val="VE Body Text Numbered"/>
    <w:basedOn w:val="VENormal"/>
    <w:next w:val="VEBodyText"/>
    <w:qFormat/>
    <w:pPr>
      <w:spacing w:before="0" w:after="240"/>
    </w:pPr>
    <w:rPr/>
  </w:style>
  <w:style w:type="paragraph" w:styleId="VEBodyTextQuote5">
    <w:name w:val="VE Body Text Quote .5"/>
    <w:basedOn w:val="VENormal"/>
    <w:next w:val="VENormal"/>
    <w:qFormat/>
    <w:pPr>
      <w:spacing w:before="0" w:after="240"/>
      <w:ind w:hanging="0" w:start="720" w:end="720"/>
    </w:pPr>
    <w:rPr/>
  </w:style>
  <w:style w:type="paragraph" w:styleId="VEBodyTextQuote1">
    <w:name w:val="VE Body Text Quote 1"/>
    <w:basedOn w:val="VENormal"/>
    <w:next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6"/>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1"/>
    <w:qFormat/>
    <w:pPr>
      <w:keepNext w:val="true"/>
      <w:numPr>
        <w:ilvl w:val="0"/>
        <w:numId w:val="10"/>
      </w:numPr>
      <w:spacing w:before="0" w:after="240"/>
      <w:jc w:val="center"/>
      <w:outlineLvl w:val="0"/>
    </w:pPr>
    <w:rPr>
      <w:b/>
      <w:bCs/>
    </w:rPr>
  </w:style>
  <w:style w:type="paragraph" w:styleId="VENumbered2">
    <w:name w:val="VE Numbered 2"/>
    <w:basedOn w:val="VENormal"/>
    <w:next w:val="VEBodyText2"/>
    <w:qFormat/>
    <w:pPr>
      <w:numPr>
        <w:ilvl w:val="0"/>
        <w:numId w:val="10"/>
      </w:numPr>
      <w:tabs>
        <w:tab w:val="clear" w:pos="720"/>
      </w:tabs>
      <w:spacing w:before="0" w:after="240"/>
      <w:ind w:firstLine="720" w:start="0" w:end="0"/>
      <w:outlineLvl w:val="1"/>
    </w:pPr>
    <w:rPr/>
  </w:style>
  <w:style w:type="paragraph" w:styleId="VENumbered3">
    <w:name w:val="VE Numbered 3"/>
    <w:basedOn w:val="VENormal"/>
    <w:next w:val="VEBodyText3"/>
    <w:qFormat/>
    <w:pPr>
      <w:numPr>
        <w:ilvl w:val="0"/>
        <w:numId w:val="10"/>
      </w:numPr>
      <w:tabs>
        <w:tab w:val="clear" w:pos="720"/>
      </w:tabs>
      <w:spacing w:before="0" w:after="240"/>
      <w:ind w:firstLine="720" w:start="720" w:end="0"/>
      <w:outlineLvl w:val="2"/>
    </w:pPr>
    <w:rPr/>
  </w:style>
  <w:style w:type="paragraph" w:styleId="VENumbered4">
    <w:name w:val="VE Numbered 4"/>
    <w:basedOn w:val="VENormal"/>
    <w:next w:val="VEBodyText4"/>
    <w:qFormat/>
    <w:pPr>
      <w:numPr>
        <w:ilvl w:val="0"/>
        <w:numId w:val="10"/>
      </w:numPr>
      <w:tabs>
        <w:tab w:val="clear" w:pos="720"/>
      </w:tabs>
      <w:spacing w:before="0" w:after="240"/>
      <w:ind w:firstLine="720" w:start="1440" w:end="0"/>
      <w:outlineLvl w:val="3"/>
    </w:pPr>
    <w:rPr/>
  </w:style>
  <w:style w:type="paragraph" w:styleId="VENumbered5">
    <w:name w:val="VE Numbered 5"/>
    <w:basedOn w:val="VENormal"/>
    <w:next w:val="VEBodyText5"/>
    <w:qFormat/>
    <w:pPr>
      <w:numPr>
        <w:ilvl w:val="0"/>
        <w:numId w:val="10"/>
      </w:numPr>
      <w:spacing w:before="0" w:after="240"/>
      <w:ind w:hanging="720" w:start="2880" w:end="0"/>
      <w:outlineLvl w:val="4"/>
    </w:pPr>
    <w:rPr/>
  </w:style>
  <w:style w:type="paragraph" w:styleId="VENumbered6">
    <w:name w:val="VE Numbered 6"/>
    <w:basedOn w:val="VENormal"/>
    <w:next w:val="VEBodyText6"/>
    <w:qFormat/>
    <w:pPr>
      <w:spacing w:before="0" w:after="240"/>
      <w:ind w:firstLine="2880" w:start="0" w:end="0"/>
      <w:outlineLvl w:val="5"/>
    </w:pPr>
    <w:rPr/>
  </w:style>
  <w:style w:type="paragraph" w:styleId="VENumbered7">
    <w:name w:val="VE Numbered 7"/>
    <w:basedOn w:val="VENormal"/>
    <w:next w:val="VEBodyText7"/>
    <w:qFormat/>
    <w:pPr>
      <w:spacing w:before="0" w:after="240"/>
      <w:ind w:firstLine="2880" w:start="0" w:end="0"/>
      <w:outlineLvl w:val="6"/>
    </w:pPr>
    <w:rPr/>
  </w:style>
  <w:style w:type="paragraph" w:styleId="VENumbered8">
    <w:name w:val="VE Numbered 8"/>
    <w:basedOn w:val="VENormal"/>
    <w:next w:val="VEBodyText8"/>
    <w:qFormat/>
    <w:pPr>
      <w:spacing w:before="0" w:after="240"/>
      <w:ind w:firstLine="2880" w:start="0" w:end="0"/>
      <w:outlineLvl w:val="7"/>
    </w:pPr>
    <w:rPr/>
  </w:style>
  <w:style w:type="paragraph" w:styleId="VENumbered9">
    <w:name w:val="VE Numbered 9"/>
    <w:basedOn w:val="VENormal"/>
    <w:next w:val="VEBodyText9"/>
    <w:qFormat/>
    <w:pPr>
      <w:spacing w:before="0" w:after="240"/>
      <w:ind w:firstLine="2880" w:start="0" w:end="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VESigBlock1">
    <w:name w:val="VE Sig Block 1"/>
    <w:basedOn w:val="VENormal"/>
    <w:qFormat/>
    <w:pPr>
      <w:keepNext w:val="true"/>
      <w:tabs>
        <w:tab w:val="clear" w:pos="720"/>
        <w:tab w:val="right" w:pos="4320" w:leader="none"/>
        <w:tab w:val="left" w:pos="5040" w:leader="none"/>
        <w:tab w:val="right" w:pos="9360" w:leader="none"/>
      </w:tabs>
      <w:jc w:val="start"/>
    </w:pPr>
    <w:rPr/>
  </w:style>
  <w:style w:type="paragraph" w:styleId="VESigBlock2">
    <w:name w:val="VE Sig Block 2"/>
    <w:basedOn w:val="VENormal"/>
    <w:qFormat/>
    <w:pPr>
      <w:tabs>
        <w:tab w:val="clear" w:pos="720"/>
        <w:tab w:val="left" w:pos="5400" w:leader="none"/>
        <w:tab w:val="right" w:pos="9360" w:leader="none"/>
      </w:tabs>
      <w:jc w:val="start"/>
    </w:pPr>
    <w:rPr/>
  </w:style>
  <w:style w:type="paragraph" w:styleId="VESubHeading">
    <w:name w:val="VE Sub Heading"/>
    <w:basedOn w:val="VENormal"/>
    <w:next w:val="VEBodyText"/>
    <w:qFormat/>
    <w:pPr>
      <w:spacing w:before="0" w:after="240"/>
      <w:jc w:val="start"/>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4"/>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sz w:val="28"/>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1BulletList">
    <w:name w:val="1Bullet List"/>
    <w:qFormat/>
    <w:pPr>
      <w:widowControl/>
      <w:tabs>
        <w:tab w:val="left" w:pos="720" w:leader="none"/>
      </w:tabs>
      <w:autoSpaceDE w:val="false"/>
      <w:bidi w:val="0"/>
      <w:ind w:hanging="720" w:start="720" w:end="0"/>
    </w:pPr>
    <w:rPr>
      <w:rFonts w:ascii="Times New Roman" w:hAnsi="Times New Roman" w:eastAsia="Times New Roman" w:cs="Times New Roman"/>
      <w:color w:val="auto"/>
      <w:sz w:val="20"/>
      <w:szCs w:val="24"/>
      <w:lang w:val="en-US" w:bidi="ar-SA" w:eastAsia="zh-CN"/>
    </w:rPr>
  </w:style>
  <w:style w:type="paragraph" w:styleId="VEInsideAddress">
    <w:name w:val="VE Inside Address"/>
    <w:basedOn w:val="VEBodyText"/>
    <w:qFormat/>
    <w:pPr>
      <w:jc w:val="start"/>
    </w:pPr>
    <w:rPr/>
  </w:style>
  <w:style w:type="paragraph" w:styleId="VEInsideAddressNS">
    <w:name w:val="VE Inside Address NS"/>
    <w:basedOn w:val="VEBodyText"/>
    <w:qFormat/>
    <w:pPr>
      <w:spacing w:before="0" w:after="0"/>
      <w:jc w:val="start"/>
    </w:pPr>
    <w:rPr/>
  </w:style>
  <w:style w:type="paragraph" w:styleId="FootnoteText">
    <w:name w:val="footnote text"/>
    <w:basedOn w:val="Normal"/>
    <w:pPr/>
    <w:rPr>
      <w:sz w:val="20"/>
      <w:szCs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2000-12-11T17:37:00Z</dcterms:created>
  <dc:creator>Vinson &amp; Elkins L.L.P.</dc:creator>
  <dc:description/>
  <dc:language>en-CA</dc:language>
  <cp:lastModifiedBy>Duke Energy</cp:lastModifiedBy>
  <cp:lastPrinted>2000-12-11T13:02:00Z</cp:lastPrinted>
  <dcterms:modified xsi:type="dcterms:W3CDTF">2000-12-11T18:52:00Z</dcterms:modified>
  <cp:revision>5</cp:revision>
  <dc:subject/>
  <dc:title/>
</cp:coreProperties>
</file>