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val="false"/>
          <w:sz w:val="32"/>
        </w:rPr>
      </w:pPr>
      <w:r>
        <w:rPr>
          <w:sz w:val="32"/>
        </w:rPr>
        <w:t>Debt &amp; Equity Trading - SFA Ch 10 Rules</w:t>
      </w:r>
    </w:p>
    <w:p>
      <w:pPr>
        <w:pStyle w:val="Normal"/>
        <w:rPr>
          <w:b/>
          <w:sz w:val="32"/>
          <w:u w:val="single"/>
        </w:rPr>
      </w:pPr>
      <w:r>
        <w:rPr>
          <w:b/>
          <w:sz w:val="32"/>
          <w:u w:val="single"/>
        </w:rPr>
      </w:r>
    </w:p>
    <w:p>
      <w:pPr>
        <w:pStyle w:val="Heading1"/>
        <w:ind w:hanging="0" w:start="0"/>
        <w:jc w:val="both"/>
        <w:rPr>
          <w:sz w:val="28"/>
          <w:u w:val="single"/>
        </w:rPr>
      </w:pPr>
      <w:r>
        <w:rPr>
          <w:sz w:val="28"/>
          <w:u w:val="single"/>
        </w:rPr>
        <w:t>Overview</w:t>
      </w:r>
    </w:p>
    <w:p>
      <w:pPr>
        <w:pStyle w:val="Normal"/>
        <w:jc w:val="both"/>
        <w:rPr>
          <w:sz w:val="28"/>
          <w:u w:val="single"/>
        </w:rPr>
      </w:pPr>
      <w:r>
        <w:rPr>
          <w:sz w:val="28"/>
          <w:u w:val="single"/>
        </w:rPr>
      </w:r>
    </w:p>
    <w:p>
      <w:pPr>
        <w:pStyle w:val="Normal"/>
        <w:jc w:val="both"/>
        <w:rPr/>
      </w:pPr>
      <w:r>
        <w:rPr/>
        <w:t>Regulatory capital is required for five risk elements:</w:t>
      </w:r>
    </w:p>
    <w:p>
      <w:pPr>
        <w:pStyle w:val="Normal"/>
        <w:jc w:val="both"/>
        <w:rPr/>
      </w:pPr>
      <w:r>
        <w:rPr/>
      </w:r>
    </w:p>
    <w:p>
      <w:pPr>
        <w:pStyle w:val="Normal"/>
        <w:numPr>
          <w:ilvl w:val="0"/>
          <w:numId w:val="2"/>
        </w:numPr>
        <w:jc w:val="both"/>
        <w:rPr/>
      </w:pPr>
      <w:r>
        <w:rPr/>
        <w:t>Market Risk</w:t>
      </w:r>
    </w:p>
    <w:p>
      <w:pPr>
        <w:pStyle w:val="Normal"/>
        <w:numPr>
          <w:ilvl w:val="0"/>
          <w:numId w:val="2"/>
        </w:numPr>
        <w:jc w:val="both"/>
        <w:rPr/>
      </w:pPr>
      <w:r>
        <w:rPr/>
        <w:t>Credit risk</w:t>
      </w:r>
    </w:p>
    <w:p>
      <w:pPr>
        <w:pStyle w:val="Normal"/>
        <w:numPr>
          <w:ilvl w:val="0"/>
          <w:numId w:val="2"/>
        </w:numPr>
        <w:jc w:val="both"/>
        <w:rPr/>
      </w:pPr>
      <w:r>
        <w:rPr/>
        <w:t>FX Risk</w:t>
      </w:r>
    </w:p>
    <w:p>
      <w:pPr>
        <w:pStyle w:val="Normal"/>
        <w:numPr>
          <w:ilvl w:val="0"/>
          <w:numId w:val="2"/>
        </w:numPr>
        <w:jc w:val="both"/>
        <w:rPr/>
      </w:pPr>
      <w:r>
        <w:rPr/>
        <w:t>Risk concentration</w:t>
      </w:r>
    </w:p>
    <w:p>
      <w:pPr>
        <w:pStyle w:val="Normal"/>
        <w:numPr>
          <w:ilvl w:val="0"/>
          <w:numId w:val="2"/>
        </w:numPr>
        <w:jc w:val="both"/>
        <w:rPr/>
      </w:pPr>
      <w:r>
        <w:rPr/>
        <w:t>Working capital</w:t>
      </w:r>
    </w:p>
    <w:p>
      <w:pPr>
        <w:pStyle w:val="Normal"/>
        <w:jc w:val="both"/>
        <w:rPr/>
      </w:pPr>
      <w:r>
        <w:rPr/>
      </w:r>
    </w:p>
    <w:p>
      <w:pPr>
        <w:pStyle w:val="Heading1"/>
        <w:ind w:hanging="0" w:start="0"/>
        <w:jc w:val="both"/>
        <w:rPr/>
      </w:pPr>
      <w:r>
        <w:rPr/>
        <w:t>Operational Aspects</w:t>
      </w:r>
    </w:p>
    <w:p>
      <w:pPr>
        <w:pStyle w:val="Normal"/>
        <w:jc w:val="both"/>
        <w:rPr/>
      </w:pPr>
      <w:r>
        <w:rPr/>
      </w:r>
    </w:p>
    <w:p>
      <w:pPr>
        <w:pStyle w:val="Normal"/>
        <w:jc w:val="both"/>
        <w:rPr/>
      </w:pPr>
      <w:r>
        <w:rPr/>
        <w:t xml:space="preserve">The information requested below makes simplifying assumptions about the calculation of the capital requirements for bond &amp; equity trading. For accurate calculations to be made extensive development of a calculation engine will be required. </w:t>
      </w:r>
    </w:p>
    <w:p>
      <w:pPr>
        <w:pStyle w:val="Normal"/>
        <w:jc w:val="both"/>
        <w:rPr/>
      </w:pPr>
      <w:r>
        <w:rPr/>
      </w:r>
    </w:p>
    <w:p>
      <w:pPr>
        <w:pStyle w:val="BodyText2"/>
        <w:jc w:val="both"/>
        <w:rPr>
          <w:b w:val="false"/>
          <w:i/>
          <w:i/>
        </w:rPr>
      </w:pPr>
      <w:r>
        <w:rPr>
          <w:b w:val="false"/>
          <w:i/>
        </w:rPr>
        <w:t>The operational aspects of meeting SFA reporting requirements must NOT be underestimated. There will be time needed for the development and implementation of SFA reporting systems if the trading activity takes place in an entity that requires regulatory capital to be held.</w:t>
      </w:r>
    </w:p>
    <w:p>
      <w:pPr>
        <w:pStyle w:val="Normal"/>
        <w:jc w:val="both"/>
        <w:rPr>
          <w:b/>
          <w:i/>
          <w:i/>
          <w:sz w:val="24"/>
          <w:u w:val="single"/>
        </w:rPr>
      </w:pPr>
      <w:r>
        <w:rPr>
          <w:b/>
          <w:i/>
          <w:sz w:val="24"/>
          <w:u w:val="single"/>
        </w:rPr>
      </w:r>
    </w:p>
    <w:p>
      <w:pPr>
        <w:pStyle w:val="Heading4"/>
        <w:ind w:hanging="0" w:start="0"/>
        <w:jc w:val="both"/>
        <w:rPr/>
      </w:pPr>
      <w:r>
        <w:rPr/>
        <w:t>Required information for assessing capital requirements</w:t>
      </w:r>
    </w:p>
    <w:p>
      <w:pPr>
        <w:pStyle w:val="Normal"/>
        <w:jc w:val="both"/>
        <w:rPr/>
      </w:pPr>
      <w:r>
        <w:rPr/>
      </w:r>
    </w:p>
    <w:p>
      <w:pPr>
        <w:pStyle w:val="Heading1"/>
        <w:ind w:hanging="0" w:start="0"/>
        <w:jc w:val="both"/>
        <w:rPr/>
      </w:pPr>
      <w:r>
        <w:rPr/>
        <w:t>Market Risk</w:t>
      </w:r>
    </w:p>
    <w:p>
      <w:pPr>
        <w:pStyle w:val="Normal"/>
        <w:jc w:val="both"/>
        <w:rPr/>
      </w:pPr>
      <w:r>
        <w:rPr/>
      </w:r>
    </w:p>
    <w:p>
      <w:pPr>
        <w:pStyle w:val="Heading2"/>
        <w:ind w:hanging="0" w:start="0"/>
        <w:jc w:val="both"/>
        <w:rPr/>
      </w:pPr>
      <w:r>
        <w:rPr/>
        <w:t>Equity Trading</w:t>
      </w:r>
    </w:p>
    <w:p>
      <w:pPr>
        <w:pStyle w:val="Normal"/>
        <w:jc w:val="both"/>
        <w:rPr/>
      </w:pPr>
      <w:r>
        <w:rPr/>
      </w:r>
    </w:p>
    <w:p>
      <w:pPr>
        <w:pStyle w:val="BodyText"/>
        <w:rPr/>
      </w:pPr>
      <w:r>
        <w:rPr/>
        <w:t>There are four methods available for calculation of PRR on equities. The information requirements below include information such that an analysis of each method can be made, with the exception of method 3, as this is very complex.</w:t>
      </w:r>
    </w:p>
    <w:p>
      <w:pPr>
        <w:pStyle w:val="Normal"/>
        <w:jc w:val="both"/>
        <w:rPr/>
      </w:pPr>
      <w:r>
        <w:rPr/>
      </w:r>
    </w:p>
    <w:p>
      <w:pPr>
        <w:pStyle w:val="Normal"/>
        <w:jc w:val="both"/>
        <w:rPr/>
      </w:pPr>
      <w:r>
        <w:rPr/>
        <w:t xml:space="preserve">Expected position </w:t>
      </w:r>
      <w:r>
        <w:rPr>
          <w:b/>
        </w:rPr>
        <w:t>values</w:t>
      </w:r>
      <w:r>
        <w:rPr/>
        <w:t xml:space="preserve"> with detail to include:</w:t>
      </w:r>
    </w:p>
    <w:p>
      <w:pPr>
        <w:pStyle w:val="Normal"/>
        <w:numPr>
          <w:ilvl w:val="0"/>
          <w:numId w:val="10"/>
        </w:numPr>
        <w:jc w:val="both"/>
        <w:rPr/>
      </w:pPr>
      <w:r>
        <w:rPr/>
        <w:t>Whether long or short</w:t>
      </w:r>
    </w:p>
    <w:p>
      <w:pPr>
        <w:pStyle w:val="Normal"/>
        <w:numPr>
          <w:ilvl w:val="0"/>
          <w:numId w:val="4"/>
        </w:numPr>
        <w:jc w:val="both"/>
        <w:rPr/>
      </w:pPr>
      <w:r>
        <w:rPr/>
        <w:t>Country of stock / index</w:t>
      </w:r>
    </w:p>
    <w:p>
      <w:pPr>
        <w:pStyle w:val="Normal"/>
        <w:numPr>
          <w:ilvl w:val="0"/>
          <w:numId w:val="4"/>
        </w:numPr>
        <w:jc w:val="both"/>
        <w:rPr/>
      </w:pPr>
      <w:r>
        <w:rPr/>
        <w:t>Currency</w:t>
      </w:r>
    </w:p>
    <w:p>
      <w:pPr>
        <w:pStyle w:val="Normal"/>
        <w:numPr>
          <w:ilvl w:val="0"/>
          <w:numId w:val="4"/>
        </w:numPr>
        <w:jc w:val="both"/>
        <w:rPr/>
      </w:pPr>
      <w:r>
        <w:rPr/>
        <w:t>Type of stock i.e. member of index (and which one)</w:t>
      </w:r>
    </w:p>
    <w:p>
      <w:pPr>
        <w:pStyle w:val="Normal"/>
        <w:numPr>
          <w:ilvl w:val="0"/>
          <w:numId w:val="4"/>
        </w:numPr>
        <w:jc w:val="both"/>
        <w:rPr/>
      </w:pPr>
      <w:r>
        <w:rPr/>
        <w:t>Index ID for index products</w:t>
      </w:r>
    </w:p>
    <w:p>
      <w:pPr>
        <w:pStyle w:val="Normal"/>
        <w:numPr>
          <w:ilvl w:val="0"/>
          <w:numId w:val="4"/>
        </w:numPr>
        <w:jc w:val="both"/>
        <w:rPr/>
      </w:pPr>
      <w:r>
        <w:rPr/>
        <w:t>Whether any individual stock is likely to exceed 20% of a country’s portfolio and if so full details.</w:t>
      </w:r>
    </w:p>
    <w:p>
      <w:pPr>
        <w:pStyle w:val="Normal"/>
        <w:numPr>
          <w:ilvl w:val="0"/>
          <w:numId w:val="4"/>
        </w:numPr>
        <w:jc w:val="both"/>
        <w:rPr/>
      </w:pPr>
      <w:r>
        <w:rPr/>
        <w:t>Whether any of the equities are likely to be credit institutions and if so the size of the specific position</w:t>
      </w:r>
    </w:p>
    <w:p>
      <w:pPr>
        <w:pStyle w:val="Normal"/>
        <w:jc w:val="both"/>
        <w:rPr/>
      </w:pPr>
      <w:r>
        <w:rPr/>
      </w:r>
    </w:p>
    <w:p>
      <w:pPr>
        <w:pStyle w:val="Normal"/>
        <w:jc w:val="both"/>
        <w:rPr/>
      </w:pPr>
      <w:r>
        <w:rPr/>
        <w:t>For derivatives positions full trade details are also required:</w:t>
      </w:r>
    </w:p>
    <w:p>
      <w:pPr>
        <w:pStyle w:val="Normal"/>
        <w:numPr>
          <w:ilvl w:val="0"/>
          <w:numId w:val="7"/>
        </w:numPr>
        <w:jc w:val="both"/>
        <w:rPr/>
      </w:pPr>
      <w:r>
        <w:rPr/>
        <w:t>Type of product</w:t>
      </w:r>
    </w:p>
    <w:p>
      <w:pPr>
        <w:pStyle w:val="Normal"/>
        <w:numPr>
          <w:ilvl w:val="0"/>
          <w:numId w:val="7"/>
        </w:numPr>
        <w:jc w:val="both"/>
        <w:rPr/>
      </w:pPr>
      <w:r>
        <w:rPr/>
        <w:t>Whether long or short</w:t>
      </w:r>
    </w:p>
    <w:p>
      <w:pPr>
        <w:pStyle w:val="Normal"/>
        <w:numPr>
          <w:ilvl w:val="0"/>
          <w:numId w:val="7"/>
        </w:numPr>
        <w:jc w:val="both"/>
        <w:rPr/>
      </w:pPr>
      <w:r>
        <w:rPr/>
        <w:t>Notional</w:t>
      </w:r>
    </w:p>
    <w:p>
      <w:pPr>
        <w:pStyle w:val="Normal"/>
        <w:numPr>
          <w:ilvl w:val="0"/>
          <w:numId w:val="7"/>
        </w:numPr>
        <w:jc w:val="both"/>
        <w:rPr/>
      </w:pPr>
      <w:r>
        <w:rPr/>
        <w:t>Underlying details (as above)</w:t>
      </w:r>
    </w:p>
    <w:p>
      <w:pPr>
        <w:pStyle w:val="Normal"/>
        <w:numPr>
          <w:ilvl w:val="0"/>
          <w:numId w:val="7"/>
        </w:numPr>
        <w:jc w:val="both"/>
        <w:rPr/>
      </w:pPr>
      <w:r>
        <w:rPr/>
        <w:t>Maturities</w:t>
      </w:r>
    </w:p>
    <w:p>
      <w:pPr>
        <w:pStyle w:val="Normal"/>
        <w:numPr>
          <w:ilvl w:val="0"/>
          <w:numId w:val="7"/>
        </w:numPr>
        <w:jc w:val="both"/>
        <w:rPr/>
      </w:pPr>
      <w:r>
        <w:rPr/>
        <w:t>Currency (valuation &amp; underlying)</w:t>
      </w:r>
    </w:p>
    <w:p>
      <w:pPr>
        <w:pStyle w:val="Normal"/>
        <w:numPr>
          <w:ilvl w:val="0"/>
          <w:numId w:val="7"/>
        </w:numPr>
        <w:jc w:val="both"/>
        <w:rPr/>
      </w:pPr>
      <w:r>
        <w:rPr/>
        <w:t>Strike ratios i.e. trading strategy on options – ATM, well OTM or well ITM</w:t>
      </w:r>
    </w:p>
    <w:p>
      <w:pPr>
        <w:pStyle w:val="Normal"/>
        <w:numPr>
          <w:ilvl w:val="0"/>
          <w:numId w:val="7"/>
        </w:numPr>
        <w:jc w:val="both"/>
        <w:rPr/>
      </w:pPr>
      <w:r>
        <w:rPr/>
        <w:t>Whether OTC or on an Exchange</w:t>
      </w:r>
    </w:p>
    <w:p>
      <w:pPr>
        <w:pStyle w:val="Normal"/>
        <w:numPr>
          <w:ilvl w:val="0"/>
          <w:numId w:val="7"/>
        </w:numPr>
        <w:jc w:val="both"/>
        <w:rPr/>
      </w:pPr>
      <w:r>
        <w:rPr/>
        <w:t>Exchange ID where appropriate</w:t>
      </w:r>
    </w:p>
    <w:p>
      <w:pPr>
        <w:pStyle w:val="Normal"/>
        <w:numPr>
          <w:ilvl w:val="0"/>
          <w:numId w:val="7"/>
        </w:numPr>
        <w:jc w:val="both"/>
        <w:rPr/>
      </w:pPr>
      <w:r>
        <w:rPr/>
        <w:t>Expected initial margin requirements split by exchange</w:t>
      </w:r>
    </w:p>
    <w:p>
      <w:pPr>
        <w:pStyle w:val="Normal"/>
        <w:numPr>
          <w:ilvl w:val="0"/>
          <w:numId w:val="7"/>
        </w:numPr>
        <w:jc w:val="both"/>
        <w:rPr/>
      </w:pPr>
      <w:r>
        <w:rPr/>
        <w:t>To what extent these will be hedged by the underlying equities above</w:t>
      </w:r>
    </w:p>
    <w:p>
      <w:pPr>
        <w:pStyle w:val="Normal"/>
        <w:numPr>
          <w:ilvl w:val="0"/>
          <w:numId w:val="7"/>
        </w:numPr>
        <w:jc w:val="both"/>
        <w:rPr/>
      </w:pPr>
      <w:r>
        <w:rPr/>
        <w:t>Where position is long – expected premiums</w:t>
      </w:r>
    </w:p>
    <w:p>
      <w:pPr>
        <w:pStyle w:val="Normal"/>
        <w:jc w:val="both"/>
        <w:rPr/>
      </w:pPr>
      <w:r>
        <w:rPr/>
      </w:r>
    </w:p>
    <w:p>
      <w:pPr>
        <w:pStyle w:val="Normal"/>
        <w:jc w:val="both"/>
        <w:rPr/>
      </w:pPr>
      <w:r>
        <w:rPr/>
      </w:r>
    </w:p>
    <w:p>
      <w:pPr>
        <w:pStyle w:val="Heading2"/>
        <w:ind w:hanging="0" w:start="0"/>
        <w:jc w:val="both"/>
        <w:rPr/>
      </w:pPr>
      <w:r>
        <w:rPr/>
        <w:t>Bond Trading</w:t>
      </w:r>
    </w:p>
    <w:p>
      <w:pPr>
        <w:pStyle w:val="Normal"/>
        <w:jc w:val="both"/>
        <w:rPr/>
      </w:pPr>
      <w:r>
        <w:rPr/>
      </w:r>
    </w:p>
    <w:p>
      <w:pPr>
        <w:pStyle w:val="BodyText"/>
        <w:rPr/>
      </w:pPr>
      <w:r>
        <w:rPr/>
        <w:t>There are 3 methods available for calculating Interest Rate capital requirements (which captures bonds). Two are based on maturity and one on modified duration.</w:t>
      </w:r>
    </w:p>
    <w:p>
      <w:pPr>
        <w:pStyle w:val="Normal"/>
        <w:jc w:val="both"/>
        <w:rPr/>
      </w:pPr>
      <w:r>
        <w:rPr/>
      </w:r>
    </w:p>
    <w:p>
      <w:pPr>
        <w:pStyle w:val="Normal"/>
        <w:jc w:val="both"/>
        <w:rPr/>
      </w:pPr>
      <w:r>
        <w:rPr/>
        <w:t xml:space="preserve">Expected position </w:t>
      </w:r>
      <w:r>
        <w:rPr>
          <w:b/>
        </w:rPr>
        <w:t>values</w:t>
      </w:r>
      <w:r>
        <w:rPr/>
        <w:t xml:space="preserve"> with detail to include:</w:t>
      </w:r>
    </w:p>
    <w:p>
      <w:pPr>
        <w:pStyle w:val="Normal"/>
        <w:numPr>
          <w:ilvl w:val="0"/>
          <w:numId w:val="10"/>
        </w:numPr>
        <w:jc w:val="both"/>
        <w:rPr/>
      </w:pPr>
      <w:r>
        <w:rPr/>
        <w:t>Whether long or short</w:t>
      </w:r>
    </w:p>
    <w:p>
      <w:pPr>
        <w:pStyle w:val="Normal"/>
        <w:numPr>
          <w:ilvl w:val="0"/>
          <w:numId w:val="4"/>
        </w:numPr>
        <w:jc w:val="both"/>
        <w:rPr/>
      </w:pPr>
      <w:r>
        <w:rPr/>
        <w:t>Country of issuer</w:t>
      </w:r>
    </w:p>
    <w:p>
      <w:pPr>
        <w:pStyle w:val="Normal"/>
        <w:numPr>
          <w:ilvl w:val="0"/>
          <w:numId w:val="4"/>
        </w:numPr>
        <w:jc w:val="both"/>
        <w:rPr/>
      </w:pPr>
      <w:r>
        <w:rPr/>
        <w:t>Maturities &amp; Modified duration</w:t>
      </w:r>
    </w:p>
    <w:p>
      <w:pPr>
        <w:pStyle w:val="Normal"/>
        <w:numPr>
          <w:ilvl w:val="0"/>
          <w:numId w:val="4"/>
        </w:numPr>
        <w:jc w:val="both"/>
        <w:rPr/>
      </w:pPr>
      <w:r>
        <w:rPr/>
        <w:t>Bond characteristics (including coupon)</w:t>
      </w:r>
    </w:p>
    <w:p>
      <w:pPr>
        <w:pStyle w:val="Normal"/>
        <w:numPr>
          <w:ilvl w:val="0"/>
          <w:numId w:val="4"/>
        </w:numPr>
        <w:jc w:val="both"/>
        <w:rPr/>
      </w:pPr>
      <w:r>
        <w:rPr/>
        <w:t>Currency</w:t>
      </w:r>
    </w:p>
    <w:p>
      <w:pPr>
        <w:pStyle w:val="Normal"/>
        <w:numPr>
          <w:ilvl w:val="0"/>
          <w:numId w:val="4"/>
        </w:numPr>
        <w:jc w:val="both"/>
        <w:rPr/>
      </w:pPr>
      <w:r>
        <w:rPr/>
        <w:t>Issuer type and, if not government debt, whether guaranteed by government</w:t>
      </w:r>
    </w:p>
    <w:p>
      <w:pPr>
        <w:pStyle w:val="Normal"/>
        <w:jc w:val="both"/>
        <w:rPr/>
      </w:pPr>
      <w:r>
        <w:rPr/>
      </w:r>
    </w:p>
    <w:p>
      <w:pPr>
        <w:pStyle w:val="Normal"/>
        <w:jc w:val="both"/>
        <w:rPr/>
      </w:pPr>
      <w:r>
        <w:rPr/>
        <w:t>For derivatives positions full trade details are also required:</w:t>
      </w:r>
    </w:p>
    <w:p>
      <w:pPr>
        <w:pStyle w:val="Normal"/>
        <w:numPr>
          <w:ilvl w:val="0"/>
          <w:numId w:val="7"/>
        </w:numPr>
        <w:jc w:val="both"/>
        <w:rPr/>
      </w:pPr>
      <w:r>
        <w:rPr/>
        <w:t>Type of product</w:t>
      </w:r>
    </w:p>
    <w:p>
      <w:pPr>
        <w:pStyle w:val="Normal"/>
        <w:numPr>
          <w:ilvl w:val="0"/>
          <w:numId w:val="7"/>
        </w:numPr>
        <w:jc w:val="both"/>
        <w:rPr/>
      </w:pPr>
      <w:r>
        <w:rPr/>
        <w:t>Whether long or short</w:t>
      </w:r>
    </w:p>
    <w:p>
      <w:pPr>
        <w:pStyle w:val="Normal"/>
        <w:numPr>
          <w:ilvl w:val="0"/>
          <w:numId w:val="7"/>
        </w:numPr>
        <w:jc w:val="both"/>
        <w:rPr/>
      </w:pPr>
      <w:r>
        <w:rPr/>
        <w:t>Notional</w:t>
      </w:r>
    </w:p>
    <w:p>
      <w:pPr>
        <w:pStyle w:val="Normal"/>
        <w:numPr>
          <w:ilvl w:val="0"/>
          <w:numId w:val="7"/>
        </w:numPr>
        <w:jc w:val="both"/>
        <w:rPr/>
      </w:pPr>
      <w:r>
        <w:rPr/>
        <w:t>Underlying details (i.e. if not bonds full details, on appropriate IR etc)</w:t>
      </w:r>
    </w:p>
    <w:p>
      <w:pPr>
        <w:pStyle w:val="Normal"/>
        <w:numPr>
          <w:ilvl w:val="0"/>
          <w:numId w:val="7"/>
        </w:numPr>
        <w:jc w:val="both"/>
        <w:rPr/>
      </w:pPr>
      <w:r>
        <w:rPr/>
        <w:t>Maturities</w:t>
      </w:r>
    </w:p>
    <w:p>
      <w:pPr>
        <w:pStyle w:val="Normal"/>
        <w:numPr>
          <w:ilvl w:val="0"/>
          <w:numId w:val="7"/>
        </w:numPr>
        <w:jc w:val="both"/>
        <w:rPr/>
      </w:pPr>
      <w:r>
        <w:rPr/>
        <w:t>Currency (valuation &amp; underlying)</w:t>
      </w:r>
    </w:p>
    <w:p>
      <w:pPr>
        <w:pStyle w:val="Normal"/>
        <w:numPr>
          <w:ilvl w:val="0"/>
          <w:numId w:val="7"/>
        </w:numPr>
        <w:jc w:val="both"/>
        <w:rPr/>
      </w:pPr>
      <w:r>
        <w:rPr/>
        <w:t>Strike ratios i.e. trading strategy on options – ATM, well OTM or well ITM</w:t>
      </w:r>
    </w:p>
    <w:p>
      <w:pPr>
        <w:pStyle w:val="Normal"/>
        <w:numPr>
          <w:ilvl w:val="0"/>
          <w:numId w:val="7"/>
        </w:numPr>
        <w:jc w:val="both"/>
        <w:rPr/>
      </w:pPr>
      <w:r>
        <w:rPr/>
        <w:t>Whether OTC or on an Exchange</w:t>
      </w:r>
    </w:p>
    <w:p>
      <w:pPr>
        <w:pStyle w:val="Normal"/>
        <w:numPr>
          <w:ilvl w:val="0"/>
          <w:numId w:val="7"/>
        </w:numPr>
        <w:jc w:val="both"/>
        <w:rPr/>
      </w:pPr>
      <w:r>
        <w:rPr/>
        <w:t>Exchange ID where appropriate</w:t>
      </w:r>
    </w:p>
    <w:p>
      <w:pPr>
        <w:pStyle w:val="Normal"/>
        <w:numPr>
          <w:ilvl w:val="0"/>
          <w:numId w:val="7"/>
        </w:numPr>
        <w:jc w:val="both"/>
        <w:rPr/>
      </w:pPr>
      <w:r>
        <w:rPr/>
        <w:t>Expected initial margin requirements split by exchange</w:t>
      </w:r>
    </w:p>
    <w:p>
      <w:pPr>
        <w:pStyle w:val="Normal"/>
        <w:numPr>
          <w:ilvl w:val="0"/>
          <w:numId w:val="7"/>
        </w:numPr>
        <w:jc w:val="both"/>
        <w:rPr/>
      </w:pPr>
      <w:r>
        <w:rPr/>
        <w:t>To what extent these will be hedged by the underlying bonds above</w:t>
      </w:r>
    </w:p>
    <w:p>
      <w:pPr>
        <w:pStyle w:val="Normal"/>
        <w:numPr>
          <w:ilvl w:val="0"/>
          <w:numId w:val="7"/>
        </w:numPr>
        <w:jc w:val="both"/>
        <w:rPr/>
      </w:pPr>
      <w:r>
        <w:rPr/>
        <w:t xml:space="preserve">Where position is long – expected premiums </w:t>
      </w:r>
    </w:p>
    <w:p>
      <w:pPr>
        <w:pStyle w:val="Normal"/>
        <w:jc w:val="both"/>
        <w:rPr>
          <w:b/>
          <w:sz w:val="24"/>
        </w:rPr>
      </w:pPr>
      <w:r>
        <w:rPr>
          <w:b/>
          <w:sz w:val="24"/>
        </w:rPr>
      </w:r>
    </w:p>
    <w:p>
      <w:pPr>
        <w:pStyle w:val="Heading3"/>
        <w:ind w:hanging="0" w:start="0"/>
        <w:jc w:val="both"/>
        <w:rPr>
          <w:b/>
          <w:sz w:val="24"/>
          <w:u w:val="none"/>
        </w:rPr>
      </w:pPr>
      <w:r>
        <w:rPr>
          <w:b/>
          <w:sz w:val="24"/>
          <w:u w:val="none"/>
        </w:rPr>
        <w:t>Credit risk</w:t>
      </w:r>
    </w:p>
    <w:p>
      <w:pPr>
        <w:pStyle w:val="Normal"/>
        <w:jc w:val="both"/>
        <w:rPr/>
      </w:pPr>
      <w:r>
        <w:rPr/>
      </w:r>
    </w:p>
    <w:p>
      <w:pPr>
        <w:pStyle w:val="Normal"/>
        <w:jc w:val="both"/>
        <w:rPr/>
      </w:pPr>
      <w:r>
        <w:rPr/>
        <w:t>Most requirements met by information for market risk. In addition the following is required:</w:t>
      </w:r>
    </w:p>
    <w:p>
      <w:pPr>
        <w:pStyle w:val="Normal"/>
        <w:jc w:val="both"/>
        <w:rPr/>
      </w:pPr>
      <w:r>
        <w:rPr/>
      </w:r>
    </w:p>
    <w:p>
      <w:pPr>
        <w:pStyle w:val="Normal"/>
        <w:numPr>
          <w:ilvl w:val="0"/>
          <w:numId w:val="9"/>
        </w:numPr>
        <w:jc w:val="both"/>
        <w:rPr/>
      </w:pPr>
      <w:r>
        <w:rPr/>
        <w:t>Will suitably robust netting agreements be in place with counterparties (see accompanying file)</w:t>
      </w:r>
    </w:p>
    <w:p>
      <w:pPr>
        <w:pStyle w:val="Normal"/>
        <w:numPr>
          <w:ilvl w:val="0"/>
          <w:numId w:val="9"/>
        </w:numPr>
        <w:jc w:val="both"/>
        <w:rPr/>
      </w:pPr>
      <w:r>
        <w:rPr/>
        <w:t>Will credit exposures be margined / collateralised? If so to what extent?</w:t>
      </w:r>
    </w:p>
    <w:p>
      <w:pPr>
        <w:pStyle w:val="Normal"/>
        <w:numPr>
          <w:ilvl w:val="0"/>
          <w:numId w:val="9"/>
        </w:numPr>
        <w:jc w:val="both"/>
        <w:rPr/>
      </w:pPr>
      <w:r>
        <w:rPr/>
        <w:t>Breakdown of the expected exposures by country and counterparty type (between governments, regulated credit institutions and commercial companies). NB exposure includes:</w:t>
      </w:r>
    </w:p>
    <w:p>
      <w:pPr>
        <w:pStyle w:val="Normal"/>
        <w:numPr>
          <w:ilvl w:val="0"/>
          <w:numId w:val="9"/>
        </w:numPr>
        <w:tabs>
          <w:tab w:val="left" w:pos="720" w:leader="none"/>
        </w:tabs>
        <w:ind w:hanging="360" w:start="720" w:end="0"/>
        <w:jc w:val="both"/>
        <w:rPr/>
      </w:pPr>
      <w:r>
        <w:rPr/>
        <w:t>For cash against delivery transactions any amount outstanding 5 days or more after the settlement date</w:t>
      </w:r>
    </w:p>
    <w:p>
      <w:pPr>
        <w:pStyle w:val="Normal"/>
        <w:numPr>
          <w:ilvl w:val="0"/>
          <w:numId w:val="9"/>
        </w:numPr>
        <w:tabs>
          <w:tab w:val="left" w:pos="720" w:leader="none"/>
        </w:tabs>
        <w:ind w:hanging="360" w:start="720" w:end="0"/>
        <w:jc w:val="both"/>
        <w:rPr/>
      </w:pPr>
      <w:r>
        <w:rPr/>
        <w:t>For free deliveries of securities (either payment before delivered to Enron, or delivered by Enron before cash received) either the cash amount due or the market value of the securities not yet received.</w:t>
      </w:r>
    </w:p>
    <w:p>
      <w:pPr>
        <w:pStyle w:val="Normal"/>
        <w:numPr>
          <w:ilvl w:val="0"/>
          <w:numId w:val="9"/>
        </w:numPr>
        <w:tabs>
          <w:tab w:val="left" w:pos="720" w:leader="none"/>
        </w:tabs>
        <w:ind w:hanging="360" w:start="720" w:end="0"/>
        <w:jc w:val="both"/>
        <w:rPr/>
      </w:pPr>
      <w:r>
        <w:rPr/>
        <w:t>For repos/reverse repos, securities lending and sale and buy/back agreements an amount based on difference in security value and collateral. Haircut rates are therefore required.</w:t>
      </w:r>
    </w:p>
    <w:p>
      <w:pPr>
        <w:pStyle w:val="Normal"/>
        <w:numPr>
          <w:ilvl w:val="0"/>
          <w:numId w:val="9"/>
        </w:numPr>
        <w:tabs>
          <w:tab w:val="left" w:pos="720" w:leader="none"/>
        </w:tabs>
        <w:ind w:hanging="360" w:start="720" w:end="0"/>
        <w:jc w:val="both"/>
        <w:rPr/>
      </w:pPr>
      <w:r>
        <w:rPr/>
        <w:t>For derivative transactions MTM and percentages of the notional (whether long or short)</w:t>
      </w:r>
    </w:p>
    <w:p>
      <w:pPr>
        <w:pStyle w:val="Normal"/>
        <w:numPr>
          <w:ilvl w:val="0"/>
          <w:numId w:val="9"/>
        </w:numPr>
        <w:jc w:val="both"/>
        <w:rPr/>
      </w:pPr>
      <w:r>
        <w:rPr/>
        <w:t>Expected full margin deposits with exchanges (split by exchange)</w:t>
      </w:r>
    </w:p>
    <w:p>
      <w:pPr>
        <w:pStyle w:val="Normal"/>
        <w:jc w:val="both"/>
        <w:rPr/>
      </w:pPr>
      <w:r>
        <w:rPr/>
      </w:r>
    </w:p>
    <w:p>
      <w:pPr>
        <w:pStyle w:val="Heading3"/>
        <w:ind w:hanging="0" w:start="0"/>
        <w:jc w:val="both"/>
        <w:rPr>
          <w:b/>
          <w:sz w:val="24"/>
          <w:u w:val="none"/>
        </w:rPr>
      </w:pPr>
      <w:r>
        <w:rPr>
          <w:b/>
          <w:sz w:val="24"/>
          <w:u w:val="none"/>
        </w:rPr>
        <w:t>FX Risk</w:t>
      </w:r>
    </w:p>
    <w:p>
      <w:pPr>
        <w:pStyle w:val="Normal"/>
        <w:jc w:val="both"/>
        <w:rPr>
          <w:b/>
          <w:sz w:val="24"/>
          <w:u w:val="none"/>
        </w:rPr>
      </w:pPr>
      <w:r>
        <w:rPr>
          <w:b/>
          <w:sz w:val="24"/>
          <w:u w:val="none"/>
        </w:rPr>
      </w:r>
    </w:p>
    <w:p>
      <w:pPr>
        <w:pStyle w:val="Normal"/>
        <w:jc w:val="both"/>
        <w:rPr/>
      </w:pPr>
      <w:r>
        <w:rPr/>
        <w:t>Most requirements met by information for market risk. In addition the following is required:</w:t>
      </w:r>
    </w:p>
    <w:p>
      <w:pPr>
        <w:pStyle w:val="Normal"/>
        <w:jc w:val="both"/>
        <w:rPr/>
      </w:pPr>
      <w:r>
        <w:rPr/>
      </w:r>
    </w:p>
    <w:p>
      <w:pPr>
        <w:pStyle w:val="Normal"/>
        <w:numPr>
          <w:ilvl w:val="0"/>
          <w:numId w:val="8"/>
        </w:numPr>
        <w:jc w:val="both"/>
        <w:rPr/>
      </w:pPr>
      <w:r>
        <w:rPr/>
        <w:t>Will FX products be traded? If so full details (underlying currencies, maturities, product types, premiums if applicable)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t>Risk concentration</w:t>
      </w:r>
    </w:p>
    <w:p>
      <w:pPr>
        <w:pStyle w:val="Normal"/>
        <w:jc w:val="both"/>
        <w:rPr/>
      </w:pPr>
      <w:r>
        <w:rPr/>
      </w:r>
    </w:p>
    <w:p>
      <w:pPr>
        <w:pStyle w:val="Normal"/>
        <w:jc w:val="both"/>
        <w:rPr/>
      </w:pPr>
      <w:r>
        <w:rPr/>
        <w:t>Where exposure to a counterparty or group of related counterparties is excessive then there is an additional charge. Information required is hence:</w:t>
      </w:r>
    </w:p>
    <w:p>
      <w:pPr>
        <w:pStyle w:val="Normal"/>
        <w:jc w:val="both"/>
        <w:rPr/>
      </w:pPr>
      <w:r>
        <w:rPr/>
      </w:r>
    </w:p>
    <w:p>
      <w:pPr>
        <w:pStyle w:val="Normal"/>
        <w:jc w:val="both"/>
        <w:rPr/>
      </w:pPr>
      <w:r>
        <w:rPr/>
        <w:t>Is there an intention to have concentrations of exposure to any particular company? -  where exposure is the sum of:</w:t>
      </w:r>
    </w:p>
    <w:p>
      <w:pPr>
        <w:pStyle w:val="Normal"/>
        <w:jc w:val="both"/>
        <w:rPr/>
      </w:pPr>
      <w:r>
        <w:rPr/>
      </w:r>
    </w:p>
    <w:p>
      <w:pPr>
        <w:pStyle w:val="Normal"/>
        <w:numPr>
          <w:ilvl w:val="0"/>
          <w:numId w:val="5"/>
        </w:numPr>
        <w:jc w:val="both"/>
        <w:rPr/>
      </w:pPr>
      <w:r>
        <w:rPr/>
        <w:t>Issuer exposure (Long positions only):</w:t>
      </w:r>
    </w:p>
    <w:p>
      <w:pPr>
        <w:pStyle w:val="Normal"/>
        <w:numPr>
          <w:ilvl w:val="0"/>
          <w:numId w:val="6"/>
        </w:numPr>
        <w:tabs>
          <w:tab w:val="left" w:pos="720" w:leader="none"/>
        </w:tabs>
        <w:ind w:hanging="360" w:start="720" w:end="0"/>
        <w:jc w:val="both"/>
        <w:rPr/>
      </w:pPr>
      <w:r>
        <w:rPr/>
        <w:t>Market value of any shares held</w:t>
      </w:r>
    </w:p>
    <w:p>
      <w:pPr>
        <w:pStyle w:val="Normal"/>
        <w:numPr>
          <w:ilvl w:val="0"/>
          <w:numId w:val="6"/>
        </w:numPr>
        <w:tabs>
          <w:tab w:val="left" w:pos="720" w:leader="none"/>
        </w:tabs>
        <w:ind w:hanging="360" w:start="720" w:end="0"/>
        <w:jc w:val="both"/>
        <w:rPr/>
      </w:pPr>
      <w:r>
        <w:rPr/>
        <w:t>Market value of any bonds held</w:t>
      </w:r>
    </w:p>
    <w:p>
      <w:pPr>
        <w:pStyle w:val="Normal"/>
        <w:numPr>
          <w:ilvl w:val="0"/>
          <w:numId w:val="6"/>
        </w:numPr>
        <w:tabs>
          <w:tab w:val="left" w:pos="720" w:leader="none"/>
        </w:tabs>
        <w:ind w:hanging="360" w:start="720" w:end="0"/>
        <w:jc w:val="both"/>
        <w:rPr/>
      </w:pPr>
      <w:r>
        <w:rPr/>
        <w:t>Elements of derivative transactions with the underlying being an equity or bond  (&amp; index if this is broken down when calculating the market risk requirement)</w:t>
      </w:r>
    </w:p>
    <w:p>
      <w:pPr>
        <w:pStyle w:val="Normal"/>
        <w:numPr>
          <w:ilvl w:val="0"/>
          <w:numId w:val="5"/>
        </w:numPr>
        <w:jc w:val="both"/>
        <w:rPr/>
      </w:pPr>
      <w:r>
        <w:rPr/>
        <w:t>Direct credit exposure</w:t>
      </w:r>
    </w:p>
    <w:p>
      <w:pPr>
        <w:pStyle w:val="Normal"/>
        <w:jc w:val="both"/>
        <w:rPr/>
      </w:pPr>
      <w:r>
        <w:rPr/>
      </w:r>
    </w:p>
    <w:p>
      <w:pPr>
        <w:pStyle w:val="Normal"/>
        <w:jc w:val="both"/>
        <w:rPr/>
      </w:pPr>
      <w:r>
        <w:rPr/>
        <w:t>If so, the identity of such third parties and intended exposure size are required.</w:t>
      </w:r>
    </w:p>
    <w:p>
      <w:pPr>
        <w:pStyle w:val="Normal"/>
        <w:jc w:val="both"/>
        <w:rPr/>
      </w:pPr>
      <w:r>
        <w:rPr/>
      </w:r>
    </w:p>
    <w:p>
      <w:pPr>
        <w:pStyle w:val="Normal"/>
        <w:jc w:val="both"/>
        <w:rPr/>
      </w:pPr>
      <w:r>
        <w:rPr/>
      </w:r>
    </w:p>
    <w:p>
      <w:pPr>
        <w:pStyle w:val="Heading1"/>
        <w:ind w:hanging="0" w:start="0"/>
        <w:jc w:val="both"/>
        <w:rPr/>
      </w:pPr>
      <w:r>
        <w:rPr/>
        <w:t>Working capital</w:t>
      </w:r>
    </w:p>
    <w:p>
      <w:pPr>
        <w:pStyle w:val="Normal"/>
        <w:jc w:val="both"/>
        <w:rPr/>
      </w:pPr>
      <w:r>
        <w:rPr/>
      </w:r>
    </w:p>
    <w:p>
      <w:pPr>
        <w:pStyle w:val="Normal"/>
        <w:jc w:val="both"/>
        <w:rPr/>
      </w:pPr>
      <w:r>
        <w:rPr/>
        <w:t>This requirement is required to reflect 90 days working capital of the business.  Required information is:</w:t>
      </w:r>
    </w:p>
    <w:p>
      <w:pPr>
        <w:pStyle w:val="Normal"/>
        <w:jc w:val="both"/>
        <w:rPr/>
      </w:pPr>
      <w:r>
        <w:rPr/>
      </w:r>
    </w:p>
    <w:p>
      <w:pPr>
        <w:pStyle w:val="Normal"/>
        <w:numPr>
          <w:ilvl w:val="0"/>
          <w:numId w:val="3"/>
        </w:numPr>
        <w:jc w:val="both"/>
        <w:rPr/>
      </w:pPr>
      <w:r>
        <w:rPr/>
        <w:t>Forecast Total Revenue</w:t>
      </w:r>
    </w:p>
    <w:p>
      <w:pPr>
        <w:pStyle w:val="Normal"/>
        <w:numPr>
          <w:ilvl w:val="0"/>
          <w:numId w:val="3"/>
        </w:numPr>
        <w:jc w:val="both"/>
        <w:rPr/>
      </w:pPr>
      <w:r>
        <w:rPr/>
        <w:t>Forecast Profit / loss</w:t>
      </w:r>
    </w:p>
    <w:p>
      <w:pPr>
        <w:pStyle w:val="Normal"/>
        <w:jc w:val="both"/>
        <w:rPr/>
      </w:pPr>
      <w:r>
        <w:rPr/>
      </w:r>
    </w:p>
    <w:p>
      <w:pPr>
        <w:pStyle w:val="Normal"/>
        <w:jc w:val="both"/>
        <w:rPr/>
      </w:pPr>
      <w:r>
        <w:rPr/>
        <w:t>Costs included in the Profit/Loss as follows:</w:t>
      </w:r>
    </w:p>
    <w:p>
      <w:pPr>
        <w:pStyle w:val="Normal"/>
        <w:numPr>
          <w:ilvl w:val="0"/>
          <w:numId w:val="3"/>
        </w:numPr>
        <w:jc w:val="both"/>
        <w:rPr/>
      </w:pPr>
      <w:r>
        <w:rPr/>
        <w:t xml:space="preserve">Any </w:t>
      </w:r>
      <w:r>
        <w:rPr>
          <w:b/>
        </w:rPr>
        <w:t>discretionary</w:t>
      </w:r>
      <w:r>
        <w:rPr/>
        <w:t xml:space="preserve"> bonus payments / profit shares included in the above</w:t>
      </w:r>
    </w:p>
    <w:p>
      <w:pPr>
        <w:pStyle w:val="Normal"/>
        <w:numPr>
          <w:ilvl w:val="0"/>
          <w:numId w:val="3"/>
        </w:numPr>
        <w:jc w:val="both"/>
        <w:rPr/>
      </w:pPr>
      <w:r>
        <w:rPr/>
        <w:t>Brokerage and commission fees etc directly related to trading</w:t>
      </w:r>
    </w:p>
    <w:p>
      <w:pPr>
        <w:pStyle w:val="Normal"/>
        <w:numPr>
          <w:ilvl w:val="0"/>
          <w:numId w:val="3"/>
        </w:numPr>
        <w:jc w:val="both"/>
        <w:rPr/>
      </w:pPr>
      <w:r>
        <w:rPr/>
        <w:t>Interest payable to counterparties</w:t>
      </w:r>
    </w:p>
    <w:p>
      <w:pPr>
        <w:pStyle w:val="Normal"/>
        <w:numPr>
          <w:ilvl w:val="0"/>
          <w:numId w:val="3"/>
        </w:numPr>
        <w:jc w:val="both"/>
        <w:rPr/>
      </w:pPr>
      <w:r>
        <w:rPr/>
        <w:t>Interest on loans specifically raised for the investment business</w:t>
      </w:r>
    </w:p>
    <w:p>
      <w:pPr>
        <w:pStyle w:val="Normal"/>
        <w:jc w:val="both"/>
        <w:rPr/>
      </w:pPr>
      <w:r>
        <w:rPr/>
      </w:r>
    </w:p>
    <w:p>
      <w:pPr>
        <w:pStyle w:val="Normal"/>
        <w:jc w:val="both"/>
        <w:rPr/>
      </w:pPr>
      <w:r>
        <w:rPr/>
      </w:r>
    </w:p>
    <w:p>
      <w:pPr>
        <w:pStyle w:val="Normal"/>
        <w:jc w:val="both"/>
        <w:rPr/>
      </w:pPr>
      <w:r>
        <w:rPr/>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sz w:val="28"/>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sz w:val="20"/>
    </w:rPr>
  </w:style>
  <w:style w:type="character" w:styleId="WW8Num17z0">
    <w:name w:val="WW8Num17z0"/>
    <w:qFormat/>
    <w:rPr>
      <w:rFonts w:ascii="Symbol" w:hAnsi="Symbol" w:cs="Symbol"/>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20"/>
    </w:rPr>
  </w:style>
  <w:style w:type="character" w:styleId="WW8Num20z0">
    <w:name w:val="WW8Num20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sz w:val="20"/>
    </w:rPr>
  </w:style>
  <w:style w:type="character" w:styleId="WW8Num30z0">
    <w:name w:val="WW8Num30z0"/>
    <w:qFormat/>
    <w:rPr>
      <w:rFonts w:ascii="Symbol" w:hAnsi="Symbol" w:cs="Symbol"/>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3z0">
    <w:name w:val="WW8Num33z0"/>
    <w:qFormat/>
    <w:rPr>
      <w:rFonts w:ascii="Symbol" w:hAnsi="Symbol" w:cs="Symbol"/>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Symbol" w:hAnsi="Symbol" w:cs="Symbol"/>
      <w:sz w:val="20"/>
    </w:rPr>
  </w:style>
  <w:style w:type="character" w:styleId="WW8Num37z0">
    <w:name w:val="WW8Num3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2000-06-23T07:32:00Z</dcterms:created>
  <dc:creator>ACornfie</dc:creator>
  <dc:description/>
  <dc:language>en-CA</dc:language>
  <cp:lastModifiedBy>ACornfie</cp:lastModifiedBy>
  <cp:lastPrinted>2000-06-23T14:19:00Z</cp:lastPrinted>
  <dcterms:modified xsi:type="dcterms:W3CDTF">2000-06-23T10:52:00Z</dcterms:modified>
  <cp:revision>23</cp:revision>
  <dc:subject/>
  <dc:title/>
</cp:coreProperties>
</file>