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Draft Summary Terms Debt</w:t>
      </w:r>
    </w:p>
    <w:p>
      <w:pPr>
        <w:pStyle w:val="Normal"/>
        <w:bidi w:val="0"/>
        <w:spacing w:lineRule="auto" w:line="240" w:before="0" w:after="0"/>
        <w:ind w:hanging="0" w:start="0" w:end="0"/>
        <w:jc w:val="center"/>
        <w:rPr>
          <w:rFonts w:ascii="Times New Roman" w:hAnsi="Times New Roman" w:eastAsia="Times New Roman" w:cs="Times New Roman"/>
          <w:b/>
          <w:bCs/>
          <w:color w:val="000000"/>
          <w:sz w:val="24"/>
          <w:szCs w:val="24"/>
        </w:rPr>
      </w:pPr>
      <w:r>
        <w:rPr>
          <w:rFonts w:eastAsia="Times New Roman" w:cs="Times New Roman" w:ascii="Times New Roman" w:hAnsi="Times New Roman"/>
          <w:b/>
          <w:bCs/>
          <w:color w:val="000000"/>
          <w:sz w:val="24"/>
          <w:szCs w:val="24"/>
        </w:rPr>
        <w:t>Project Hawaii 125-0</w:t>
      </w:r>
    </w:p>
    <w:p>
      <w:pPr>
        <w:pStyle w:val="Normal"/>
        <w:bidi w:val="0"/>
        <w:spacing w:lineRule="auto" w:line="240"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March 15, 2000</w:t>
      </w:r>
    </w:p>
    <w:p>
      <w:pPr>
        <w:pStyle w:val="Normal"/>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Borrower:</w:t>
        <w:tab/>
        <w:t>A special purpose Delaware business trust appropriately capitalized with third party equity and administered by Wilmington Trust, as trustee (“Hawaii 125-0” or the “Trust”).  Hawaii 125-0 will lend the loan proceeds to a separate series of the Trust (“Series”) in exchange for a series note.  The loan proceeds plus the equity investment in the Series will be used to purchase an interest in an asset.  For each asset acquisition the trust will issue a separate tranche of debt.</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Arranger and</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Booker Runner:</w:t>
        <w:tab/>
        <w:t>CIBC World Markets</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Administrative </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Agent:</w:t>
        <w:tab/>
        <w:t>Canadian Imperial Bank of Commerce</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Co-Agent(s):</w:t>
        <w:tab/>
        <w:t>One or more financial institutions which will be mutually satisfactory to the Arranger and Enron.</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Lenders:</w:t>
        <w:tab/>
        <w:t>A syndicate of financial institutions mutually agreed to by Enron and the Arranger.</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Facility:</w:t>
        <w:tab/>
        <w:t>A multiple advance facility aggregating not less than $97,000,000 for the closing on the Initial Closing Date and documented to allow additional syndication of the Facility with up to an aggregate facility of $485 million to be closed on the Second Closing Date.  Availability for up to 364 days from the Initial Closing Date and standard renewal provisions within seventy-five days of maturity.  Any outstanding amounts under any tranche shall be repaid within a maximum term of nine months.  Minimum and maximum advances under each tranche will be $10 and $150 million (or, if less, the aggregate of the Facility).  Amounts prepaid or repaid may be reborrowed under one or more new tranches.</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216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Individual advances shall be for periods of not less than one month and not greater than nine months.</w:t>
      </w:r>
    </w:p>
    <w:p>
      <w:pPr>
        <w:sectPr>
          <w:footerReference w:type="default" r:id="rId2"/>
          <w:type w:val="nextPage"/>
          <w:pgSz w:w="12240" w:h="15840"/>
          <w:pgMar w:left="1440" w:right="1440" w:gutter="0" w:header="0" w:top="1440" w:footer="1440" w:bottom="1772"/>
          <w:pgNumType w:fmt="decimal"/>
          <w:formProt w:val="false"/>
          <w:textDirection w:val="lrTb"/>
          <w:docGrid w:type="default" w:linePitch="600" w:charSpace="32768"/>
        </w:sect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Initial Closing Date:</w:t>
        <w:tab/>
        <w:t>A date subsequent to the completion of all documentation and syndication of the minimum facility amount; such date contemplated to be on or about March 31, 2000.</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Second Closing Date:</w:t>
        <w:tab/>
        <w:t>The date not later than two months following the Initial Closing Date.</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Purpose:</w:t>
        <w:tab/>
        <w:t>Monetization of various assets currently or prospectively owned by Enron Corp. (“Enron”) or one of its subsidiaries or majority owned affiliates; such monetization resulting in a true issuance for financial accounting purposes under FASB 125 and sale treatment for GAAP.</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Availability:</w:t>
        <w:tab/>
        <w:t xml:space="preserve">Facility availability will be established in conjunction with the acceptance of suitable FASB 125 transactions.  Conditions for acceptance will be, to the fullest extent possible, standardized and fully incorporated into the Facility documentation. </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Asset Parameters:</w:t>
        <w:tab/>
      </w:r>
      <w:r>
        <w:rPr>
          <w:rFonts w:eastAsia="Times New Roman" w:cs="Times New Roman" w:ascii="Times New Roman" w:hAnsi="Times New Roman"/>
          <w:color w:val="000000"/>
          <w:sz w:val="24"/>
          <w:szCs w:val="24"/>
          <w:u w:val="single"/>
        </w:rPr>
        <w:t>Danno Assets</w:t>
      </w:r>
      <w:r>
        <w:rPr>
          <w:rFonts w:eastAsia="Times New Roman" w:cs="Times New Roman" w:ascii="Times New Roman" w:hAnsi="Times New Roman"/>
          <w:color w:val="000000"/>
          <w:sz w:val="24"/>
          <w:szCs w:val="24"/>
        </w:rPr>
        <w:t xml:space="preserve"> — cash flows from contractual obligations of third parties owed to Enron or one of its subsidiaries or majority owned affiliates; projected cash flows at levels calculated using Enron policies and procedures for similar assets.</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2160" w:end="0"/>
        <w:jc w:val="both"/>
        <w:rPr/>
      </w:pPr>
      <w:r>
        <w:rPr>
          <w:rFonts w:eastAsia="Times New Roman" w:cs="Times New Roman" w:ascii="Times New Roman" w:hAnsi="Times New Roman"/>
          <w:color w:val="000000"/>
          <w:sz w:val="24"/>
          <w:szCs w:val="24"/>
          <w:u w:val="single"/>
        </w:rPr>
        <w:t>Governor Assets</w:t>
      </w:r>
      <w:r>
        <w:rPr>
          <w:rFonts w:eastAsia="Times New Roman" w:cs="Times New Roman" w:ascii="Times New Roman" w:hAnsi="Times New Roman"/>
          <w:color w:val="000000"/>
          <w:sz w:val="24"/>
          <w:szCs w:val="24"/>
        </w:rPr>
        <w:t xml:space="preserve"> — Enron’s or one of its subsidiary’s or majority owned affiliate’s interest in cash flows from operating assets owned by an entity controlled by Enron.</w:t>
      </w:r>
    </w:p>
    <w:p>
      <w:pPr>
        <w:pStyle w:val="Normal"/>
        <w:tabs>
          <w:tab w:val="clear" w:pos="720"/>
          <w:tab w:val="left" w:pos="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2160" w:end="0"/>
        <w:jc w:val="both"/>
        <w:rPr/>
      </w:pPr>
      <w:r>
        <w:rPr>
          <w:rFonts w:eastAsia="Times New Roman" w:cs="Times New Roman" w:ascii="Times New Roman" w:hAnsi="Times New Roman"/>
          <w:color w:val="000000"/>
          <w:sz w:val="24"/>
          <w:szCs w:val="24"/>
          <w:u w:val="single"/>
        </w:rPr>
        <w:t>McGarret Assets</w:t>
      </w:r>
      <w:r>
        <w:rPr>
          <w:rFonts w:eastAsia="Times New Roman" w:cs="Times New Roman" w:ascii="Times New Roman" w:hAnsi="Times New Roman"/>
          <w:color w:val="000000"/>
          <w:sz w:val="24"/>
          <w:szCs w:val="24"/>
        </w:rPr>
        <w:t xml:space="preserve"> — equity interests in Enron subsidiaries, affiliates and third parties; provided that if any such interest is not a minority interest, the prior approval of the Agent is required.</w:t>
      </w:r>
    </w:p>
    <w:p>
      <w:pPr>
        <w:pStyle w:val="Normal"/>
        <w:tabs>
          <w:tab w:val="clear" w:pos="720"/>
          <w:tab w:val="left" w:pos="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2160" w:end="0"/>
        <w:jc w:val="both"/>
        <w:rPr/>
      </w:pPr>
      <w:r>
        <w:rPr>
          <w:rFonts w:eastAsia="Times New Roman" w:cs="Times New Roman" w:ascii="Times New Roman" w:hAnsi="Times New Roman"/>
          <w:color w:val="000000"/>
          <w:sz w:val="24"/>
          <w:szCs w:val="24"/>
          <w:u w:val="single"/>
        </w:rPr>
        <w:t>Valuation of all Assets</w:t>
      </w:r>
      <w:r>
        <w:rPr>
          <w:rFonts w:eastAsia="Times New Roman" w:cs="Times New Roman" w:ascii="Times New Roman" w:hAnsi="Times New Roman"/>
          <w:color w:val="000000"/>
          <w:sz w:val="24"/>
          <w:szCs w:val="24"/>
        </w:rPr>
        <w:t>:</w:t>
      </w:r>
    </w:p>
    <w:p>
      <w:pPr>
        <w:pStyle w:val="Normal"/>
        <w:tabs>
          <w:tab w:val="clear" w:pos="720"/>
          <w:tab w:val="left" w:pos="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216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rPr>
        <w:tab/>
        <w:t>where publicly traded, asset must be valued within trading range during most recent 90 day period.</w:t>
      </w:r>
    </w:p>
    <w:p>
      <w:pPr>
        <w:pStyle w:val="Normal"/>
        <w:tabs>
          <w:tab w:val="clear" w:pos="720"/>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216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rPr>
        <w:tab/>
        <w:t>for assets which constitute non-public investments of Enron and its subsidiaries the value (which must be satisfactory to the Agent) will be based on either (i) Enron’s internal procedures, (ii) an independent review from an expert (which is not a Lender or an affiliate of a Lender) satisfactory to the Agent, or (iii) for assets constituting Enron’s or its subsidiary’s or majority owned affiliate’s interest in Enron or one of its subsidiaries in which a third party has made an investment, the price paid by such third party in an arms-length transaction within the most recent 180 days, if applicable.</w:t>
      </w:r>
    </w:p>
    <w:p>
      <w:pPr>
        <w:pStyle w:val="Normal"/>
        <w:tabs>
          <w:tab w:val="clear" w:pos="720"/>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216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rPr>
        <w:tab/>
        <w:t>Enron to certify to Lenders that asset valuation is consistent with Enron’s internal procedures for valuation of similar assets and with the particular procedures of the Enron business unit responsible for similar assets and that Borrower and the entities in structures are solvent at the drawdown date.</w:t>
      </w:r>
    </w:p>
    <w:p>
      <w:pPr>
        <w:pStyle w:val="Normal"/>
        <w:tabs>
          <w:tab w:val="clear" w:pos="720"/>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216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rPr>
        <w:tab/>
        <w:t>where value based upon third party derivative transaction, counterparty must either have investment grade rating or otherwise be acceptable to Required Lenders.</w:t>
      </w:r>
    </w:p>
    <w:p>
      <w:pPr>
        <w:pStyle w:val="Normal"/>
        <w:tabs>
          <w:tab w:val="clear" w:pos="720"/>
          <w:tab w:val="left" w:pos="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2160" w:end="0"/>
        <w:jc w:val="both"/>
        <w:rPr/>
      </w:pPr>
      <w:r>
        <w:rPr>
          <w:rFonts w:eastAsia="Times New Roman" w:cs="Times New Roman" w:ascii="Times New Roman" w:hAnsi="Times New Roman"/>
          <w:color w:val="000000"/>
          <w:sz w:val="24"/>
          <w:szCs w:val="24"/>
          <w:u w:val="single"/>
        </w:rPr>
        <w:t>Put</w:t>
      </w:r>
      <w:r>
        <w:rPr>
          <w:rFonts w:eastAsia="Times New Roman" w:cs="Times New Roman" w:ascii="Times New Roman" w:hAnsi="Times New Roman"/>
          <w:color w:val="000000"/>
          <w:sz w:val="24"/>
          <w:szCs w:val="24"/>
        </w:rPr>
        <w:t>:</w:t>
      </w:r>
    </w:p>
    <w:p>
      <w:pPr>
        <w:pStyle w:val="Normal"/>
        <w:tabs>
          <w:tab w:val="clear" w:pos="720"/>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216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w:t>
      </w:r>
      <w:r>
        <w:rPr>
          <w:rFonts w:eastAsia="Times New Roman" w:cs="Times New Roman" w:ascii="Times New Roman" w:hAnsi="Times New Roman"/>
          <w:color w:val="000000"/>
          <w:sz w:val="24"/>
          <w:szCs w:val="24"/>
        </w:rPr>
        <w:tab/>
        <w:t>for assets which: (i) cannot predictably meet interest and principal payments when due, or (ii) are publicly traded securities with material historic price volatility (each as determined by the Agent), then the structure will provide for a put or similar mechanism that shall require the repurchase of all or a portion of the monetized asset by the seller sufficient to pay interest and principal when required (including pre-payments of a tranche).</w:t>
      </w:r>
    </w:p>
    <w:p>
      <w:pPr>
        <w:pStyle w:val="Normal"/>
        <w:tabs>
          <w:tab w:val="clear" w:pos="720"/>
          <w:tab w:val="left" w:pos="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Interest Margins:</w:t>
        <w:tab/>
        <w:t>Advances under the Facility shall pay interest at the earlier of LIBOR contract maturity and quarterly, based on the following rates:</w:t>
      </w:r>
    </w:p>
    <w:p>
      <w:pPr>
        <w:pStyle w:val="Normal"/>
        <w:tabs>
          <w:tab w:val="clear" w:pos="720"/>
          <w:tab w:val="left" w:pos="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216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The CIBC Base Rate or LIBOR plus 0.55%.</w:t>
      </w:r>
    </w:p>
    <w:p>
      <w:pPr>
        <w:pStyle w:val="Normal"/>
        <w:tabs>
          <w:tab w:val="clear" w:pos="720"/>
          <w:tab w:val="left" w:pos="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216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LIBOR interest periods may be for 1,2,3 or 6 month maturities; provided that no interest period selected prior to the Second Closing Date shall extend beyond June 30, 2000 to allow for syndication of entire Facility.</w:t>
      </w:r>
    </w:p>
    <w:p>
      <w:pPr>
        <w:pStyle w:val="Normal"/>
        <w:tabs>
          <w:tab w:val="clear" w:pos="720"/>
          <w:tab w:val="left" w:pos="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Facility Fee:</w:t>
        <w:tab/>
        <w:t>0.15% on total amount of debt facility (drawn and undrawn) payable quarterly in arrears.</w:t>
      </w:r>
    </w:p>
    <w:p>
      <w:pPr>
        <w:pStyle w:val="Normal"/>
        <w:tabs>
          <w:tab w:val="clear" w:pos="720"/>
          <w:tab w:val="left" w:pos="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Administrative </w:t>
      </w:r>
    </w:p>
    <w:p>
      <w:pPr>
        <w:pStyle w:val="Normal"/>
        <w:tabs>
          <w:tab w:val="clear" w:pos="720"/>
          <w:tab w:val="left" w:pos="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Agents’ Fees:</w:t>
        <w:tab/>
        <w:t>The Administrative Agent shall be paid fees in the amounts provided in separate letter with the Agent.</w:t>
      </w:r>
    </w:p>
    <w:p>
      <w:pPr>
        <w:pStyle w:val="Normal"/>
        <w:tabs>
          <w:tab w:val="clear" w:pos="720"/>
          <w:tab w:val="left" w:pos="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Enron Support:</w:t>
        <w:tab/>
        <w:t>Via a total return swap (TRS), documented under standard ISDA guidelines, between Enron Corp. and the Borrower with separate confirmations for each asset.  The TRS will provide the Lenders with satisfactory assurance that the Borrower has sufficient funds to meet its interest, principal, fee and expense obligations as they become due irrespective of the actual cash flows derived from the monetized assets.  Under the TRS, Borrower shall pay to Enron all amounts received from the monetized assets.  Enron shall pay to the Borrower the equivalent of the facility interest rate, increased costs (if applicable), the principal amount and any other amounts owing to the Arranger, the Agent, any Co-Agent(s) or any Lenders pursuant to the Facility Agreement and the Finance Documents in an amount sufficient to pay such amounts to the Arranger, the Agent, the Co-Agents and the Lenders.  The TRS shall have a cross default to Enron indebtedness in an amount in excess of $100,000,000 and a debt to capitalization ratio for Enron not in excess of 65%.</w:t>
      </w:r>
    </w:p>
    <w:p>
      <w:pPr>
        <w:pStyle w:val="Normal"/>
        <w:tabs>
          <w:tab w:val="clear" w:pos="720"/>
          <w:tab w:val="left" w:pos="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Pledges:</w:t>
        <w:tab/>
        <w:t>Negative pledge on all of Borrower’s assets.</w:t>
      </w:r>
    </w:p>
    <w:p>
      <w:pPr>
        <w:pStyle w:val="Normal"/>
        <w:tabs>
          <w:tab w:val="clear" w:pos="720"/>
          <w:tab w:val="left" w:pos="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Prepayment:</w:t>
        <w:tab/>
        <w:t>Permitted upon five business days’ prior irrevocable written notice (except in some circumstances by operation of the illegality clause).</w:t>
      </w:r>
    </w:p>
    <w:p>
      <w:pPr>
        <w:pStyle w:val="Normal"/>
        <w:tabs>
          <w:tab w:val="clear" w:pos="720"/>
          <w:tab w:val="left" w:pos="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Increased Costs:</w:t>
        <w:tab/>
        <w:t>The facility will be subject to increased cost, capital adequacy, reserve cost and other similar provisions, and payments will be net of any taxes.</w:t>
      </w:r>
    </w:p>
    <w:p>
      <w:pPr>
        <w:pStyle w:val="Normal"/>
        <w:tabs>
          <w:tab w:val="clear" w:pos="720"/>
          <w:tab w:val="left" w:pos="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Representations </w:t>
      </w:r>
    </w:p>
    <w:p>
      <w:pPr>
        <w:pStyle w:val="Normal"/>
        <w:tabs>
          <w:tab w:val="clear" w:pos="720"/>
          <w:tab w:val="left" w:pos="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pPr>
      <w:r>
        <w:rPr>
          <w:rFonts w:eastAsia="Times New Roman" w:cs="Times New Roman" w:ascii="Times New Roman" w:hAnsi="Times New Roman"/>
          <w:color w:val="000000"/>
          <w:sz w:val="24"/>
          <w:szCs w:val="24"/>
        </w:rPr>
        <w:t>and Warranties:</w:t>
        <w:tab/>
        <w:t>Customary for transactions of this type, including without limitation:  Borrower represents:  (i) due organization and corporate power; (ii) due authorization and power and authority to enter into transaction documents; (iii) no conflicts with organizational documents, laws or agreements; (iv) all required corporate governmental and third party consents and approvals; (v) enforceability; (vi) ranking of obligations under the transaction documents; (vii) no pending or threatened litigation or other proceeding likely to have a MAE (</w:t>
      </w:r>
      <w:r>
        <w:rPr>
          <w:rFonts w:eastAsia="Times New Roman" w:cs="Times New Roman" w:ascii="Times New Roman" w:hAnsi="Times New Roman"/>
          <w:i/>
          <w:iCs/>
          <w:color w:val="000000"/>
          <w:sz w:val="24"/>
          <w:szCs w:val="24"/>
        </w:rPr>
        <w:t>see definition below</w:t>
      </w:r>
      <w:r>
        <w:rPr>
          <w:rFonts w:eastAsia="Times New Roman" w:cs="Times New Roman" w:ascii="Times New Roman" w:hAnsi="Times New Roman"/>
          <w:color w:val="000000"/>
          <w:sz w:val="24"/>
          <w:szCs w:val="24"/>
        </w:rPr>
        <w:t xml:space="preserve">); (viii) no MAE since the date of formation of Borrower; (ix) no liens or encumbrances on assets; (x) no Event of Default, potential event of default or event which, with the giving of notice or lapse of a grace period or the like, will constitute a default under other agreements, which default can be reasonably expected to have a MAE; (xi) compliance with laws, except for non-compliance not reasonably expected to have a MAE; (xii) Borrower not engaging in any business activity other than its business; (xiii) title to assets to the extent required to conduct its business; (xiv) possession of licences except any absence that would not be reasonably expected to have a MAE; (xv) no tax claims reasonably likely to have a MAE; (xvi) solvency of Borrower and entities in structures at each drawdown date; (xvii) Borrower having no financial indebtedness as of the date of the Facility Agreement except under the transaction documents and except for permitted subordinated indebtedness from Enron in form, substance and amount satisfactory to the Lenders; (xviii) no purchasing margin stock or extending margin stock purpose credit; and (xix) Borrower not an Investment Company or Public Utility Holding Company. Representations and Warranties will be made or repeated on the date of the Facility Agreement, on the date of the drawdown notice and drawdown date, and quarterly thereafter. </w:t>
      </w:r>
    </w:p>
    <w:p>
      <w:pPr>
        <w:pStyle w:val="Normal"/>
        <w:tabs>
          <w:tab w:val="clear" w:pos="720"/>
          <w:tab w:val="left" w:pos="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MAE:</w:t>
        <w:tab/>
        <w:t>“MAE” shall mean an adverse change having or reasonably likely to have a material adverse effect on the ability of the applicable party to perform in a timely and diligent manner all or any of its material obligations (including without limitation payment obligations) under each of the transaction documents, or resulting in any material term of the Finance Documents not being legal, valid and binding on or enforceable against the applicable party (subject to opinion exceptions).</w:t>
      </w:r>
    </w:p>
    <w:p>
      <w:pPr>
        <w:pStyle w:val="Normal"/>
        <w:tabs>
          <w:tab w:val="clear" w:pos="720"/>
          <w:tab w:val="left" w:pos="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Financial Covenants:</w:t>
        <w:tab/>
        <w:t>None on Borrower.</w:t>
      </w:r>
    </w:p>
    <w:p>
      <w:pPr>
        <w:pStyle w:val="Normal"/>
        <w:tabs>
          <w:tab w:val="clear" w:pos="720"/>
          <w:tab w:val="left" w:pos="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Information </w:t>
      </w:r>
    </w:p>
    <w:p>
      <w:pPr>
        <w:pStyle w:val="Normal"/>
        <w:tabs>
          <w:tab w:val="clear" w:pos="720"/>
          <w:tab w:val="left" w:pos="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Covenants:</w:t>
        <w:tab/>
        <w:t>Customary for transactions of this type, including, without limitation:  Borrower required to (i) notify Agent of Events of Default or potential events of default; (ii) provide Agent reasonably requested information relating to Borrower (subject to confidentiality obligations set forth in project and other documents); and (iii) provide Agent details of events which materially adversely affect the ability of Borrower to perform under the transaction documents.  Borrower to provide annual unaudited financial statements within 135 days of year end and quarterly consolidated financial statements within 75 days of quarter end.</w:t>
      </w:r>
    </w:p>
    <w:p>
      <w:pPr>
        <w:pStyle w:val="Normal"/>
        <w:tabs>
          <w:tab w:val="clear" w:pos="720"/>
          <w:tab w:val="left" w:pos="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Other Covenants:</w:t>
        <w:tab/>
        <w:t>Customary for transactions of this type, including, without limitation:  Borrower covenants:  (i) Borrower activity limited to its Business of owning the Class B Interests; (ii) no other Borrower financial indebtedness other than certain permitted subordinated indebtedness and financial indebtedness under the Finance Documents; (iii) Borrower at all times to own the Class B Interests; (iv) no material modification of underlying agreements; (v) all required governmental authorizations and approvals; (vi) maintenance of status; (vii) payment of taxes; (viii) no disposals of assets by Borrower except as provided in the structure documents; (ix) no mergers or consolidations; (x) no other encumbrances or negative pledges by Borrower; (xi) no loans or grant of credit by Borrower; (xii) no acquisitions of subsidiaries or businesses by Borrower; (xiii) no redemption or acquisition of own shares; (xiv) no dividends or other distributions except as provided in the structure documents; (xv) Borrower to make no other investments except cash equivalents and (xvi) to comply with laws and regulations.</w:t>
      </w:r>
    </w:p>
    <w:p>
      <w:pPr>
        <w:pStyle w:val="Normal"/>
        <w:tabs>
          <w:tab w:val="clear" w:pos="720"/>
          <w:tab w:val="left" w:pos="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Events of Default:</w:t>
        <w:tab/>
        <w:t>Customary for transactions of this type, including, without limitation:  (i) Borrower or Enron failure to pay amounts when due under the Finance Documents unless non-payment in respect only of interest or fees and paid within 5 business days; (ii) any party to a Finance Document breaches any of its material obligations thereunder, or Borrower breaches a material obligation under any of the transaction documents, subject (if remediable) to a 20 business day grace period after becoming aware thereof; (iii) material misrepresentation, subject (if remediable) to a 20 business day grace period after becoming aware thereof; (iv) invalidity, repudiation or unlawfulness of any Finance Document; (v) bankruptcy or insolvency of any party to a Finance Document or any such party being subject to receivership, administration or the like; (vii) composition with creditors or winding up of a party to a Finance Document; (viii) similar events (including filing or commencement of U.S. bankruptcy proceedings) in relation to any party to a Finance Document; (ix) any party to a Finance Document ceases or threatens to cease all or a substantial portion of its business; and (x) any Event of Termination shall occur under the TRS.</w:t>
      </w:r>
    </w:p>
    <w:p>
      <w:pPr>
        <w:pStyle w:val="Normal"/>
        <w:tabs>
          <w:tab w:val="clear" w:pos="720"/>
          <w:tab w:val="left" w:pos="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216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If there is an Event of Default, all the Series will be collapsed and the assets of the Trust will be pooled (including monies received under the TRS), to be applied first, to paying to the Lenders all amounts due under the Facility Agreement, second, to paying certificate base amount and certificate yield and third, the excess, if any, to Enron.</w:t>
      </w:r>
    </w:p>
    <w:p>
      <w:pPr>
        <w:pStyle w:val="Normal"/>
        <w:tabs>
          <w:tab w:val="clear" w:pos="720"/>
          <w:tab w:val="left" w:pos="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Conditions </w:t>
      </w:r>
    </w:p>
    <w:p>
      <w:pPr>
        <w:pStyle w:val="Normal"/>
        <w:tabs>
          <w:tab w:val="clear" w:pos="720"/>
          <w:tab w:val="left" w:pos="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Precedent for</w:t>
      </w:r>
    </w:p>
    <w:p>
      <w:pPr>
        <w:pStyle w:val="Normal"/>
        <w:tabs>
          <w:tab w:val="clear" w:pos="720"/>
          <w:tab w:val="left" w:pos="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Closing:</w:t>
        <w:tab/>
        <w:t xml:space="preserve">Customary for transactions of this type, including, without limitation:  (a) the following in form and substance satisfactory to the Agent: </w:t>
      </w:r>
    </w:p>
    <w:p>
      <w:pPr>
        <w:pStyle w:val="Normal"/>
        <w:tabs>
          <w:tab w:val="clear" w:pos="720"/>
          <w:tab w:val="left" w:pos="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2160" w:leader="none"/>
          <w:tab w:val="left" w:pos="2520" w:leader="none"/>
          <w:tab w:val="left" w:pos="32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25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w:t>
        <w:tab/>
        <w:t xml:space="preserve">copies of constitutional documents, board minutes approving transaction, specimen signatures and any other necessary evidence of authority from Borrower, and Enron; </w:t>
      </w:r>
    </w:p>
    <w:p>
      <w:pPr>
        <w:pStyle w:val="Normal"/>
        <w:tabs>
          <w:tab w:val="clear" w:pos="720"/>
          <w:tab w:val="left" w:pos="0" w:leader="none"/>
          <w:tab w:val="left" w:pos="2160" w:leader="none"/>
          <w:tab w:val="left" w:pos="2520" w:leader="none"/>
          <w:tab w:val="left" w:pos="32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2160" w:leader="none"/>
          <w:tab w:val="left" w:pos="2520" w:leader="none"/>
          <w:tab w:val="left" w:pos="32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25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(ii)</w:t>
        <w:tab/>
        <w:t xml:space="preserve">executed copies of the Facility Agreement, the TRS and each Lenders’ Notes; </w:t>
      </w:r>
    </w:p>
    <w:p>
      <w:pPr>
        <w:pStyle w:val="Normal"/>
        <w:tabs>
          <w:tab w:val="clear" w:pos="720"/>
          <w:tab w:val="left" w:pos="0" w:leader="none"/>
          <w:tab w:val="left" w:pos="2160" w:leader="none"/>
          <w:tab w:val="left" w:pos="2520" w:leader="none"/>
          <w:tab w:val="left" w:pos="32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2160" w:leader="none"/>
          <w:tab w:val="left" w:pos="2520" w:leader="none"/>
          <w:tab w:val="left" w:pos="32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25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(iii)</w:t>
        <w:tab/>
        <w:t xml:space="preserve">Agent to be satisfied with the structure, capitalization and tax status of Borrower; and </w:t>
      </w:r>
    </w:p>
    <w:p>
      <w:pPr>
        <w:pStyle w:val="Normal"/>
        <w:tabs>
          <w:tab w:val="clear" w:pos="720"/>
          <w:tab w:val="left" w:pos="0" w:leader="none"/>
          <w:tab w:val="left" w:pos="2160" w:leader="none"/>
          <w:tab w:val="left" w:pos="2520" w:leader="none"/>
          <w:tab w:val="left" w:pos="32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2520" w:leader="none"/>
          <w:tab w:val="left" w:pos="32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25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(iv)</w:t>
        <w:tab/>
        <w:t>Agent to be satisfied with the form, substance and economic returns inherent in the Class B Interests.</w:t>
      </w:r>
    </w:p>
    <w:p>
      <w:pPr>
        <w:pStyle w:val="Normal"/>
        <w:tabs>
          <w:tab w:val="clear" w:pos="720"/>
          <w:tab w:val="left" w:pos="0" w:leader="none"/>
          <w:tab w:val="left" w:pos="2160" w:leader="none"/>
          <w:tab w:val="left" w:pos="2520" w:leader="none"/>
          <w:tab w:val="left" w:pos="32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2160" w:leader="none"/>
          <w:tab w:val="left" w:pos="2520" w:leader="none"/>
          <w:tab w:val="left" w:pos="32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 xml:space="preserve">Conditions </w:t>
      </w:r>
    </w:p>
    <w:p>
      <w:pPr>
        <w:pStyle w:val="Normal"/>
        <w:tabs>
          <w:tab w:val="clear" w:pos="720"/>
          <w:tab w:val="left" w:pos="0" w:leader="none"/>
          <w:tab w:val="left" w:pos="2160" w:leader="none"/>
          <w:tab w:val="left" w:pos="2520" w:leader="none"/>
          <w:tab w:val="left" w:pos="32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Precedent for</w:t>
      </w:r>
    </w:p>
    <w:p>
      <w:pPr>
        <w:pStyle w:val="Normal"/>
        <w:tabs>
          <w:tab w:val="clear" w:pos="720"/>
          <w:tab w:val="left" w:pos="0" w:leader="none"/>
          <w:tab w:val="left" w:pos="2160" w:leader="none"/>
          <w:tab w:val="left" w:pos="2520" w:leader="none"/>
          <w:tab w:val="left" w:pos="32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each Draw:</w:t>
        <w:tab/>
        <w:t xml:space="preserve">Customary for transactions of this type, including, without limitation the following in form and substance satisfactory to the Agent: </w:t>
      </w:r>
    </w:p>
    <w:p>
      <w:pPr>
        <w:pStyle w:val="Normal"/>
        <w:tabs>
          <w:tab w:val="clear" w:pos="720"/>
          <w:tab w:val="left" w:pos="0" w:leader="none"/>
          <w:tab w:val="left" w:pos="2160" w:leader="none"/>
          <w:tab w:val="left" w:pos="2520" w:leader="none"/>
          <w:tab w:val="left" w:pos="32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2160" w:leader="none"/>
          <w:tab w:val="left" w:pos="2520" w:leader="none"/>
          <w:tab w:val="left" w:pos="32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25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w:t>
        <w:tab/>
        <w:t>legal opinions;</w:t>
      </w:r>
    </w:p>
    <w:p>
      <w:pPr>
        <w:pStyle w:val="Normal"/>
        <w:tabs>
          <w:tab w:val="clear" w:pos="720"/>
          <w:tab w:val="left" w:pos="0" w:leader="none"/>
          <w:tab w:val="left" w:pos="2160" w:leader="none"/>
          <w:tab w:val="left" w:pos="2520" w:leader="none"/>
          <w:tab w:val="left" w:pos="32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2160" w:leader="none"/>
          <w:tab w:val="left" w:pos="2520" w:leader="none"/>
          <w:tab w:val="left" w:pos="32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25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(ii)</w:t>
        <w:tab/>
        <w:t xml:space="preserve">evidence of Borrower’s purchase of Class B Interests on a substantially concurrent basis; </w:t>
      </w:r>
    </w:p>
    <w:p>
      <w:pPr>
        <w:pStyle w:val="Normal"/>
        <w:tabs>
          <w:tab w:val="clear" w:pos="720"/>
          <w:tab w:val="left" w:pos="0" w:leader="none"/>
          <w:tab w:val="left" w:pos="2160" w:leader="none"/>
          <w:tab w:val="left" w:pos="2520" w:leader="none"/>
          <w:tab w:val="left" w:pos="32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left" w:pos="2520" w:leader="none"/>
          <w:tab w:val="left" w:pos="32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252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(iii)</w:t>
        <w:tab/>
        <w:t>no Event of Default or potential event of default;</w:t>
      </w:r>
    </w:p>
    <w:p>
      <w:pPr>
        <w:pStyle w:val="Normal"/>
        <w:tabs>
          <w:tab w:val="clear" w:pos="720"/>
          <w:tab w:val="left" w:pos="0" w:leader="none"/>
          <w:tab w:val="left" w:pos="2160" w:leader="none"/>
          <w:tab w:val="left" w:pos="2520" w:leader="none"/>
          <w:tab w:val="left" w:pos="32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2160" w:leader="none"/>
          <w:tab w:val="left" w:pos="2520" w:leader="none"/>
          <w:tab w:val="left" w:pos="32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25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(iv)</w:t>
        <w:tab/>
        <w:t>accuracy of representations and warranties; and</w:t>
      </w:r>
    </w:p>
    <w:p>
      <w:pPr>
        <w:pStyle w:val="Normal"/>
        <w:tabs>
          <w:tab w:val="clear" w:pos="720"/>
          <w:tab w:val="left" w:pos="0" w:leader="none"/>
          <w:tab w:val="left" w:pos="2160" w:leader="none"/>
          <w:tab w:val="left" w:pos="2520" w:leader="none"/>
          <w:tab w:val="left" w:pos="32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2160" w:leader="none"/>
          <w:tab w:val="left" w:pos="2520" w:leader="none"/>
          <w:tab w:val="left" w:pos="32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2160" w:leader="none"/>
          <w:tab w:val="left" w:pos="2520" w:leader="none"/>
          <w:tab w:val="left" w:pos="32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firstLine="252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(v)</w:t>
        <w:tab/>
        <w:t>contribution of third party equity.</w:t>
      </w:r>
    </w:p>
    <w:p>
      <w:pPr>
        <w:pStyle w:val="Normal"/>
        <w:tabs>
          <w:tab w:val="clear" w:pos="720"/>
          <w:tab w:val="left" w:pos="0" w:leader="none"/>
          <w:tab w:val="left" w:pos="2160" w:leader="none"/>
          <w:tab w:val="left" w:pos="2520" w:leader="none"/>
          <w:tab w:val="left" w:pos="32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2160" w:leader="none"/>
          <w:tab w:val="left" w:pos="2520" w:leader="none"/>
          <w:tab w:val="left" w:pos="32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Required Lenders:</w:t>
        <w:tab/>
        <w:t>Lenders holding 66⅔% in the aggregate of all commitments (and/or outstandings, as appropriate). The following decisions will require unanimous Lender approval: (i) increase in any Lender’s commitment; (ii) extension of the Second Closing Date, (iii) extension of any payment due date, (iv) reduction in amounts payable, (v) amendment of the amendment, pro-rata payment, set off and assignment by Borrower clauses of the Facility Agreement, as well as the definition of “Required Lenders”.</w:t>
      </w:r>
    </w:p>
    <w:p>
      <w:pPr>
        <w:pStyle w:val="Normal"/>
        <w:tabs>
          <w:tab w:val="clear" w:pos="720"/>
          <w:tab w:val="left" w:pos="0" w:leader="none"/>
          <w:tab w:val="left" w:pos="2160" w:leader="none"/>
          <w:tab w:val="left" w:pos="2520" w:leader="none"/>
          <w:tab w:val="left" w:pos="32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2160" w:leader="none"/>
          <w:tab w:val="left" w:pos="2520" w:leader="none"/>
          <w:tab w:val="left" w:pos="32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Transferability:</w:t>
        <w:tab/>
        <w:t xml:space="preserve">Neither Borrower nor Enron may assign its rights or obligations without the prior written consent of the Lenders except as permitted under the structure documents.  Enron may assign its obligations under the TRS to a wholly-owned subsidiary on providing an Enron guaranty of such subsidiary’s obligations under the TRS in a form acceptable to the Agent.  The Facility Agreement provides for the Lenders to be able to assign their rights and/or obligations with the agreement of Borrower (not to be unreasonably withheld) to any bank or other lender, whose primary business is not electricity generation and/or supply and/or distribution of oil and/or gas and/or electricity, or the manufacturer of gas or steam power generating turbines and/or the communications, telecommunications, fiber optics, broadband, internet products and services and related businesses; provided, that each such assignment must be in an amount at least equal to $5,000,000. </w:t>
      </w:r>
    </w:p>
    <w:p>
      <w:pPr>
        <w:pStyle w:val="Normal"/>
        <w:tabs>
          <w:tab w:val="clear" w:pos="720"/>
          <w:tab w:val="left" w:pos="0" w:leader="none"/>
          <w:tab w:val="left" w:pos="2160" w:leader="none"/>
          <w:tab w:val="left" w:pos="2520" w:leader="none"/>
          <w:tab w:val="left" w:pos="32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2160" w:leader="none"/>
          <w:tab w:val="left" w:pos="2520" w:leader="none"/>
          <w:tab w:val="left" w:pos="32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Governing Law:</w:t>
        <w:tab/>
        <w:t>State of New York.</w:t>
      </w:r>
    </w:p>
    <w:p>
      <w:pPr>
        <w:pStyle w:val="Normal"/>
        <w:tabs>
          <w:tab w:val="clear" w:pos="720"/>
          <w:tab w:val="left" w:pos="0" w:leader="none"/>
          <w:tab w:val="left" w:pos="2160" w:leader="none"/>
          <w:tab w:val="left" w:pos="2520" w:leader="none"/>
          <w:tab w:val="left" w:pos="32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
    </w:p>
    <w:p>
      <w:pPr>
        <w:pStyle w:val="Normal"/>
        <w:tabs>
          <w:tab w:val="clear" w:pos="720"/>
          <w:tab w:val="left" w:pos="0" w:leader="none"/>
          <w:tab w:val="left" w:pos="2160" w:leader="none"/>
          <w:tab w:val="left" w:pos="2520" w:leader="none"/>
          <w:tab w:val="left" w:pos="324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bidi w:val="0"/>
        <w:spacing w:lineRule="auto" w:line="240" w:before="0" w:after="0"/>
        <w:ind w:hanging="0" w:start="0" w:end="0"/>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t>Legal Counsel:</w:t>
        <w:tab/>
        <w:t>Mayer, Brown &amp; Platt for the Arranger and the Agent and Andrews &amp; Kurth for Enron and the Borrower.</w:t>
      </w:r>
    </w:p>
    <w:sectPr>
      <w:footerReference w:type="default" r:id="rId3"/>
      <w:footerReference w:type="first" r:id="rId4"/>
      <w:type w:val="nextPage"/>
      <w:pgSz w:w="12240" w:h="15840"/>
      <w:pgMar w:left="1440" w:right="1440" w:gutter="0" w:header="0" w:top="1440" w:footer="1440" w:bottom="2048"/>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0" w:end="0"/>
      <w:jc w:val="start"/>
      <w:rPr>
        <w:rFonts w:ascii="Times New Roman" w:hAnsi="Times New Roman" w:eastAsia="Times New Roman" w:cs="Times New Roman"/>
        <w:color w:val="000000"/>
        <w:sz w:val="14"/>
        <w:szCs w:val="14"/>
      </w:rPr>
    </w:pPr>
    <w:r>
      <w:rPr>
        <w:rFonts w:eastAsia="Times New Roman" w:cs="Times New Roman" w:ascii="Times New Roman" w:hAnsi="Times New Roman"/>
        <w:color w:val="000000"/>
        <w:sz w:val="14"/>
        <w:szCs w:val="14"/>
      </w:rPr>
      <w:t>24392466.10 31600 1242C 88759261</w:t>
    </w:r>
  </w:p>
  <w:p>
    <w:pPr>
      <w:pStyle w:val="Normal"/>
      <w:bidi w:val="0"/>
      <w:spacing w:lineRule="auto" w:line="240" w:before="0" w:after="0"/>
      <w:ind w:hanging="0" w:start="0" w:end="0"/>
      <w:jc w:val="start"/>
      <w:rPr>
        <w:rFonts w:ascii="Times New Roman" w:hAnsi="Times New Roman" w:eastAsia="Times New Roman" w:cs="Times New Roman"/>
        <w:color w:val="000000"/>
        <w:sz w:val="14"/>
        <w:szCs w:val="14"/>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uto" w:line="240" w:before="0" w:after="0"/>
      <w:ind w:hanging="0" w:start="0" w:end="0"/>
      <w:jc w:val="start"/>
      <w:rPr>
        <w:rFonts w:ascii="Times New Roman" w:hAnsi="Times New Roman" w:eastAsia="Times New Roman" w:cs="Times New Roman"/>
        <w:color w:val="000000"/>
        <w:sz w:val="14"/>
        <w:szCs w:val="14"/>
      </w:rPr>
    </w:pPr>
    <w:r>
      <w:rPr>
        <w:rFonts w:eastAsia="Times New Roman" w:cs="Times New Roman" w:ascii="Times New Roman" w:hAnsi="Times New Roman"/>
        <w:color w:val="000000"/>
        <w:sz w:val="14"/>
        <w:szCs w:val="14"/>
      </w:rPr>
      <w:t>24392466.10 31600 1242C 88759261</w:t>
    </w:r>
  </w:p>
  <w:p>
    <w:pPr>
      <w:pStyle w:val="Normal"/>
      <w:bidi w:val="0"/>
      <w:spacing w:lineRule="auto" w:line="240" w:before="0" w:after="0"/>
      <w:ind w:hanging="0" w:start="0" w:end="0"/>
      <w:jc w:val="start"/>
      <w:rPr>
        <w:rFonts w:ascii="Times New Roman" w:hAnsi="Times New Roman" w:eastAsia="Times New Roman" w:cs="Times New Roman"/>
        <w:color w:val="000000"/>
        <w:sz w:val="14"/>
        <w:szCs w:val="14"/>
      </w:rPr>
    </w:pPr>
    <w:r>
      <w:rPr/>
    </w:r>
  </w:p>
  <w:p>
    <w:pPr>
      <w:pStyle w:val="Normal"/>
      <w:bidi w:val="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fldChar w:fldCharType="begin"/>
    </w:r>
    <w:r>
      <w:rPr>
        <w:sz w:val="24"/>
        <w:szCs w:val="24"/>
        <w:rFonts w:eastAsia="Times New Roman" w:cs="Times New Roman" w:ascii="Times New Roman" w:hAnsi="Times New Roman"/>
      </w:rPr>
      <w:instrText xml:space="preserve"> PAGE \* ARABIC </w:instrText>
    </w:r>
    <w:r>
      <w:rPr>
        <w:sz w:val="24"/>
        <w:szCs w:val="24"/>
        <w:rFonts w:eastAsia="Times New Roman" w:cs="Times New Roman" w:ascii="Times New Roman" w:hAnsi="Times New Roman"/>
      </w:rPr>
      <w:fldChar w:fldCharType="separate"/>
    </w:r>
    <w:r>
      <w:rPr>
        <w:sz w:val="24"/>
        <w:szCs w:val="24"/>
        <w:rFonts w:eastAsia="Times New Roman" w:cs="Times New Roman" w:ascii="Times New Roman" w:hAnsi="Times New Roman"/>
      </w:rPr>
      <w:t>7</w:t>
    </w:r>
    <w:r>
      <w:rPr>
        <w:sz w:val="24"/>
        <w:szCs w:val="24"/>
        <w:rFonts w:eastAsia="Times New Roman"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Liberation Serif" w:hAnsi="Liberation Serif" w:eastAsia="Liberation Sans" w:cs="NotoSans NF"/>
      <w:color w:val="auto"/>
      <w:kern w:val="2"/>
      <w:sz w:val="24"/>
      <w:szCs w:val="24"/>
      <w:lang w:val="en-CA" w:eastAsia="zh-CN" w:bidi="hi-IN"/>
    </w:rPr>
  </w:style>
  <w:style w:type="character" w:styleId="FootnoteSymbol">
    <w:name w:val="Footnote_Symbol"/>
    <w:qFormat/>
    <w:rPr>
      <w:vertAlign w:val="superscript"/>
    </w:rPr>
  </w:style>
  <w:style w:type="character" w:styleId="EndnoteSymbol">
    <w:name w:val="Endnote_Symbol"/>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FootnoteAnchor">
    <w:name w:val="Footnote Anchor"/>
    <w:qFormat/>
    <w:rPr>
      <w:vertAlign w:val="superscript"/>
    </w:rPr>
  </w:style>
  <w:style w:type="character" w:styleId="EndnoteAnchor">
    <w:name w:val="Endnote Anchor"/>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TextBody"/>
    <w:pPr/>
    <w:rPr/>
  </w:style>
  <w:style w:type="paragraph" w:styleId="Caption">
    <w:name w:val="caption"/>
    <w:basedOn w:val="Normal"/>
    <w:qFormat/>
    <w:pPr/>
    <w:rPr/>
  </w:style>
  <w:style w:type="paragraph" w:styleId="Index">
    <w:name w:val="Index"/>
    <w:basedOn w:val="Normal"/>
    <w:qFormat/>
    <w:pPr/>
    <w:rPr/>
  </w:style>
  <w:style w:type="paragraph" w:styleId="TextBody">
    <w:name w:val="Text Body"/>
    <w:basedOn w:val="Normal"/>
    <w:qFormat/>
    <w:pPr/>
    <w:rPr/>
  </w:style>
  <w:style w:type="paragraph" w:styleId="TableContents">
    <w:name w:val="Table Contents"/>
    <w:basedOn w:val="TextBody"/>
    <w:qFormat/>
    <w:pPr/>
    <w:rPr/>
  </w:style>
  <w:style w:type="paragraph" w:styleId="TableHeading">
    <w:name w:val="Table Heading"/>
    <w:basedOn w:val="TableContents"/>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Footer">
    <w:name w:val="footer"/>
    <w:basedOn w:val="Normal"/>
    <w:pPr/>
    <w:rPr/>
  </w:style>
  <w:style w:type="paragraph" w:styleId="FootnoteText">
    <w:name w:val="footnote text"/>
    <w:basedOn w:val="Normal"/>
    <w:pPr/>
    <w:rPr/>
  </w:style>
  <w:style w:type="paragraph" w:styleId="EndnoteText">
    <w:name w:val="end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