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3600" w:end="0"/>
        <w:rPr>
          <w:b/>
          <w:sz w:val="22"/>
        </w:rPr>
      </w:pPr>
      <w:r>
        <w:rPr>
          <w:b/>
          <w:sz w:val="22"/>
        </w:rPr>
        <w:t>DEBBIE I. RAMKERRYSINGH</w:t>
      </w:r>
    </w:p>
    <w:p>
      <w:pPr>
        <w:pStyle w:val="Normal"/>
        <w:ind w:start="3600" w:end="0"/>
        <w:rPr>
          <w:b/>
          <w:sz w:val="22"/>
        </w:rPr>
      </w:pPr>
      <w:r>
        <w:rPr>
          <w:b/>
          <w:sz w:val="22"/>
        </w:rPr>
        <w:t>77 Davisville Avenue,</w:t>
      </w:r>
    </w:p>
    <w:p>
      <w:pPr>
        <w:pStyle w:val="Heading5"/>
        <w:ind w:hanging="0" w:start="3600" w:end="0"/>
        <w:rPr>
          <w:rFonts w:ascii="Times New Roman" w:hAnsi="Times New Roman" w:cs="Times New Roman"/>
          <w:i w:val="false"/>
          <w:i w:val="false"/>
          <w:iCs w:val="false"/>
        </w:rPr>
      </w:pPr>
      <w:r>
        <w:rPr>
          <w:rFonts w:cs="Times New Roman" w:ascii="Times New Roman" w:hAnsi="Times New Roman"/>
          <w:i w:val="false"/>
          <w:iCs w:val="false"/>
        </w:rPr>
        <w:t>Suite 2116</w:t>
      </w:r>
    </w:p>
    <w:p>
      <w:pPr>
        <w:pStyle w:val="Heading4"/>
        <w:ind w:hanging="0" w:start="3600" w:end="0"/>
        <w:rPr>
          <w:rFonts w:ascii="Times New Roman" w:hAnsi="Times New Roman" w:cs="Times New Roman"/>
        </w:rPr>
      </w:pPr>
      <w:r>
        <w:rPr>
          <w:rFonts w:cs="Times New Roman" w:ascii="Times New Roman" w:hAnsi="Times New Roman"/>
        </w:rPr>
        <w:t>Toronto, Ontario, M4S 1G4</w:t>
      </w:r>
    </w:p>
    <w:p>
      <w:pPr>
        <w:pStyle w:val="Heading4"/>
        <w:ind w:hanging="0" w:start="3600" w:end="0"/>
        <w:rPr>
          <w:rFonts w:ascii="Times New Roman" w:hAnsi="Times New Roman" w:cs="Times New Roman"/>
        </w:rPr>
      </w:pPr>
      <w:r>
        <w:rPr>
          <w:rFonts w:cs="Times New Roman" w:ascii="Times New Roman" w:hAnsi="Times New Roman"/>
        </w:rPr>
        <w:t>Telephone: (416) 489-7093</w:t>
      </w:r>
    </w:p>
    <w:p>
      <w:pPr>
        <w:pStyle w:val="Normal"/>
        <w:ind w:start="3600" w:end="0"/>
        <w:rPr>
          <w:rFonts w:ascii="Times New Roman" w:hAnsi="Times New Roman" w:cs="Times New Roman"/>
        </w:rPr>
      </w:pPr>
      <w:r>
        <w:rPr>
          <w:rFonts w:cs="Times New Roman"/>
        </w:rPr>
      </w:r>
    </w:p>
    <w:p>
      <w:pPr>
        <w:pStyle w:val="Normal"/>
        <w:ind w:start="3600" w:end="0"/>
        <w:rPr>
          <w:b/>
          <w:sz w:val="22"/>
        </w:rPr>
      </w:pPr>
      <w:r>
        <w:rPr>
          <w:b/>
          <w:sz w:val="22"/>
        </w:rPr>
        <w:t>Internet Address : ramked@tdbank.ca</w:t>
      </w:r>
    </w:p>
    <w:p>
      <w:pPr>
        <w:pStyle w:val="Normal"/>
        <w:rPr>
          <w:b/>
          <w:sz w:val="22"/>
        </w:rPr>
      </w:pPr>
      <w:r>
        <w:rPr>
          <w:b/>
          <w:sz w:val="22"/>
        </w:rPr>
      </w:r>
    </w:p>
    <w:p>
      <w:pPr>
        <w:pStyle w:val="Normal"/>
        <w:rPr>
          <w:sz w:val="22"/>
        </w:rPr>
      </w:pPr>
      <w:r>
        <w:rPr>
          <w:sz w:val="22"/>
        </w:rPr>
      </w:r>
    </w:p>
    <w:p>
      <w:pPr>
        <w:pStyle w:val="Heading1"/>
        <w:ind w:hanging="0" w:start="0"/>
        <w:rPr>
          <w:rFonts w:ascii="Times New Roman" w:hAnsi="Times New Roman" w:cs="Times New Roman"/>
          <w:sz w:val="24"/>
        </w:rPr>
      </w:pPr>
      <w:r>
        <w:rPr>
          <w:rFonts w:cs="Times New Roman" w:ascii="Times New Roman" w:hAnsi="Times New Roman"/>
          <w:sz w:val="24"/>
        </w:rPr>
        <w:t>Employment</w:t>
      </w:r>
    </w:p>
    <w:p>
      <w:pPr>
        <w:pStyle w:val="Normal"/>
        <w:rPr>
          <w:rFonts w:ascii="Times New Roman" w:hAnsi="Times New Roman" w:cs="Times New Roman"/>
          <w:sz w:val="24"/>
        </w:rPr>
      </w:pPr>
      <w:r>
        <w:rPr>
          <w:rFonts w:cs="Times New Roman"/>
          <w:sz w:val="24"/>
        </w:rPr>
      </w:r>
    </w:p>
    <w:p>
      <w:pPr>
        <w:pStyle w:val="Normal"/>
        <w:rPr/>
      </w:pPr>
      <w:r>
        <w:rPr/>
        <w:t>January 1998 – Present</w:t>
      </w:r>
    </w:p>
    <w:p>
      <w:pPr>
        <w:pStyle w:val="Normal"/>
        <w:rPr/>
      </w:pPr>
      <w:r>
        <w:rPr>
          <w:b/>
          <w:sz w:val="22"/>
        </w:rPr>
        <w:t>TD Securities Inc, Toronto</w:t>
      </w:r>
      <w:r>
        <w:rPr/>
        <w:t xml:space="preserve"> -</w:t>
      </w:r>
    </w:p>
    <w:p>
      <w:pPr>
        <w:pStyle w:val="Normal"/>
        <w:rPr/>
      </w:pPr>
      <w:r>
        <w:rPr/>
      </w:r>
    </w:p>
    <w:p>
      <w:pPr>
        <w:pStyle w:val="Normal"/>
        <w:spacing w:lineRule="atLeast" w:line="240"/>
        <w:rPr>
          <w:color w:val="000000"/>
        </w:rPr>
      </w:pPr>
      <w:r>
        <w:rPr>
          <w:color w:val="000000"/>
        </w:rPr>
        <w:t>Negotiation, reviewing, and execution of derivative and traded products documentation within established risk management guidelines. Primary responsibility for the 1992 ISDA Master Agreement, Credit Support Annex and supporting documents for all international and domestic bank/dealer entities. Exclusive documentation contact responsible for negotiation review and execution of Commercial Paper/Money Markets Dealer Agreements and Futures Agreements.</w:t>
      </w:r>
    </w:p>
    <w:p>
      <w:pPr>
        <w:pStyle w:val="Normal"/>
        <w:spacing w:lineRule="atLeast" w:line="240"/>
        <w:rPr>
          <w:color w:val="000000"/>
        </w:rPr>
      </w:pPr>
      <w:r>
        <w:rPr>
          <w:color w:val="000000"/>
        </w:rPr>
      </w:r>
    </w:p>
    <w:p>
      <w:pPr>
        <w:pStyle w:val="Normal"/>
        <w:spacing w:lineRule="atLeast" w:line="240"/>
        <w:rPr>
          <w:b/>
          <w:color w:val="000000"/>
        </w:rPr>
      </w:pPr>
      <w:r>
        <w:rPr>
          <w:b/>
          <w:color w:val="000000"/>
        </w:rPr>
        <w:t>Responsiblities:</w:t>
      </w:r>
    </w:p>
    <w:p>
      <w:pPr>
        <w:pStyle w:val="Normal"/>
        <w:spacing w:lineRule="atLeast" w:line="240"/>
        <w:rPr>
          <w:b/>
          <w:color w:val="000000"/>
        </w:rPr>
      </w:pPr>
      <w:r>
        <w:rPr>
          <w:b/>
          <w:color w:val="000000"/>
        </w:rPr>
      </w:r>
    </w:p>
    <w:p>
      <w:pPr>
        <w:pStyle w:val="Normal"/>
        <w:spacing w:lineRule="atLeast" w:line="240"/>
        <w:rPr>
          <w:color w:val="000000"/>
        </w:rPr>
      </w:pPr>
      <w:r>
        <w:rPr>
          <w:b/>
          <w:bCs/>
          <w:color w:val="000000"/>
        </w:rPr>
        <w:t>ISDA/IFEMA</w:t>
      </w:r>
    </w:p>
    <w:p>
      <w:pPr>
        <w:pStyle w:val="Normal"/>
        <w:numPr>
          <w:ilvl w:val="0"/>
          <w:numId w:val="2"/>
        </w:numPr>
        <w:spacing w:lineRule="atLeast" w:line="240"/>
        <w:rPr>
          <w:color w:val="000000"/>
        </w:rPr>
      </w:pPr>
      <w:r>
        <w:rPr>
          <w:color w:val="000000"/>
        </w:rPr>
        <w:t>Timely negotiation of ISDA and IFEMA Agreements with counterparties  including all supporting documents such as the Credit Support Annex, Guarantees, Credit Support Documents, Loan Agreements and supporting documents. ISDA and IFEMA documents prepared for international corporations, financial institutions, pension plans, hedge funds and domestic corporations. Negotiation of these documents on behalf of TD New York, TD (Ireland), TD(Barbados) , TD (Texas) and TD (Toronto) and all foreign entities. Products include interest rate swaps, commodity swaps, foreign exchange, credit derivatives, equity derivatives, asset securitization, and many others.</w:t>
      </w:r>
    </w:p>
    <w:p>
      <w:pPr>
        <w:pStyle w:val="Normal"/>
        <w:spacing w:lineRule="atLeast" w:line="240"/>
        <w:ind w:start="360" w:end="0"/>
        <w:rPr>
          <w:color w:val="000000"/>
        </w:rPr>
      </w:pPr>
      <w:r>
        <w:rPr>
          <w:color w:val="000000"/>
        </w:rPr>
      </w:r>
    </w:p>
    <w:p>
      <w:pPr>
        <w:pStyle w:val="Normal"/>
        <w:numPr>
          <w:ilvl w:val="0"/>
          <w:numId w:val="2"/>
        </w:numPr>
        <w:spacing w:lineRule="atLeast" w:line="240"/>
        <w:rPr>
          <w:color w:val="000000"/>
        </w:rPr>
      </w:pPr>
      <w:r>
        <w:rPr>
          <w:color w:val="000000"/>
        </w:rPr>
        <w:t xml:space="preserve">Recent focus on structuring of complex documentation including confirmations for credit derivatives. </w:t>
      </w:r>
    </w:p>
    <w:p>
      <w:pPr>
        <w:pStyle w:val="Normal"/>
        <w:spacing w:lineRule="atLeast" w:line="240"/>
        <w:rPr>
          <w:color w:val="000000"/>
        </w:rPr>
      </w:pPr>
      <w:r>
        <w:rPr>
          <w:color w:val="000000"/>
        </w:rPr>
      </w:r>
    </w:p>
    <w:p>
      <w:pPr>
        <w:pStyle w:val="Normal"/>
        <w:numPr>
          <w:ilvl w:val="0"/>
          <w:numId w:val="2"/>
        </w:numPr>
        <w:spacing w:lineRule="atLeast" w:line="240"/>
        <w:rPr>
          <w:color w:val="000000"/>
        </w:rPr>
      </w:pPr>
      <w:r>
        <w:rPr>
          <w:color w:val="000000"/>
        </w:rPr>
        <w:t>Leading the Canadian Dealer Market in drafting and negotiating documentation for syndicated deals on a mark to market aggregate basis. Participated in drafting an Aggregate Credit Support Agreement which is a precedent in Canadian market.</w:t>
      </w:r>
    </w:p>
    <w:p>
      <w:pPr>
        <w:pStyle w:val="Normal"/>
        <w:spacing w:lineRule="atLeast" w:line="240"/>
        <w:rPr>
          <w:color w:val="000000"/>
        </w:rPr>
      </w:pPr>
      <w:r>
        <w:rPr>
          <w:color w:val="000000"/>
        </w:rPr>
      </w:r>
    </w:p>
    <w:p>
      <w:pPr>
        <w:pStyle w:val="Normal"/>
        <w:spacing w:lineRule="atLeast" w:line="240"/>
        <w:ind w:hanging="360" w:start="720" w:end="0"/>
        <w:rPr>
          <w:color w:val="000000"/>
        </w:rPr>
      </w:pPr>
      <w:r>
        <w:rPr>
          <w:color w:val="000000"/>
        </w:rPr>
        <w:t>-</w:t>
        <w:tab/>
        <w:t xml:space="preserve">Strong interaction and communication with trading floors. Timely execution and preparation of derivative documentation based on instructions from trading floors. </w:t>
      </w:r>
    </w:p>
    <w:p>
      <w:pPr>
        <w:pStyle w:val="Normal"/>
        <w:spacing w:lineRule="atLeast" w:line="240"/>
        <w:rPr>
          <w:color w:val="000000"/>
        </w:rPr>
      </w:pPr>
      <w:r>
        <w:rPr>
          <w:color w:val="000000"/>
        </w:rPr>
      </w:r>
    </w:p>
    <w:p>
      <w:pPr>
        <w:pStyle w:val="Normal"/>
        <w:spacing w:lineRule="atLeast" w:line="240"/>
        <w:ind w:hanging="360" w:start="720" w:end="0"/>
        <w:rPr>
          <w:color w:val="000000"/>
        </w:rPr>
      </w:pPr>
      <w:r>
        <w:rPr>
          <w:color w:val="000000"/>
        </w:rPr>
        <w:t>-</w:t>
        <w:tab/>
        <w:t xml:space="preserve">Evaluation and understanding of treasury credit risks and credit reports associated with derivative trading and treasury products. </w:t>
      </w:r>
    </w:p>
    <w:p>
      <w:pPr>
        <w:pStyle w:val="Normal"/>
        <w:spacing w:lineRule="atLeast" w:line="240"/>
        <w:rPr>
          <w:color w:val="000000"/>
        </w:rPr>
      </w:pPr>
      <w:r>
        <w:rPr>
          <w:color w:val="000000"/>
        </w:rPr>
      </w:r>
    </w:p>
    <w:p>
      <w:pPr>
        <w:pStyle w:val="Normal"/>
        <w:numPr>
          <w:ilvl w:val="0"/>
          <w:numId w:val="2"/>
        </w:numPr>
        <w:spacing w:lineRule="atLeast" w:line="240"/>
        <w:rPr>
          <w:color w:val="000000"/>
        </w:rPr>
      </w:pPr>
      <w:r>
        <w:rPr>
          <w:color w:val="000000"/>
        </w:rPr>
        <w:t>Educating counterparties, counsel and bank personnel through seminars and reports on derivative documents and products.</w:t>
      </w:r>
    </w:p>
    <w:p>
      <w:pPr>
        <w:pStyle w:val="Normal"/>
        <w:spacing w:lineRule="atLeast" w:line="240"/>
        <w:ind w:start="360" w:end="0"/>
        <w:rPr>
          <w:color w:val="000000"/>
        </w:rPr>
      </w:pPr>
      <w:r>
        <w:rPr>
          <w:color w:val="000000"/>
        </w:rPr>
      </w:r>
    </w:p>
    <w:p>
      <w:pPr>
        <w:pStyle w:val="Heading6"/>
        <w:ind w:hanging="0" w:start="0"/>
        <w:rPr/>
      </w:pPr>
      <w:r>
        <w:rPr/>
        <w:t>FUTURES -</w:t>
      </w:r>
    </w:p>
    <w:p>
      <w:pPr>
        <w:pStyle w:val="Normal"/>
        <w:numPr>
          <w:ilvl w:val="0"/>
          <w:numId w:val="2"/>
        </w:numPr>
        <w:spacing w:lineRule="atLeast" w:line="240"/>
        <w:rPr>
          <w:color w:val="000000"/>
        </w:rPr>
      </w:pPr>
      <w:r>
        <w:rPr>
          <w:color w:val="000000"/>
        </w:rPr>
        <w:t>Negotiation of Futures Documentation on behalf of the Bank including Dealer Agreements, Information Memorandum, International Uniform Brokerage Execution Services Agreement, Trading Agreements, Commodity Account Agreements and Novation Agreements.</w:t>
      </w:r>
    </w:p>
    <w:p>
      <w:pPr>
        <w:pStyle w:val="Normal"/>
        <w:spacing w:lineRule="atLeast" w:line="240"/>
        <w:rPr>
          <w:color w:val="000000"/>
        </w:rPr>
      </w:pPr>
      <w:r>
        <w:rPr>
          <w:color w:val="000000"/>
        </w:rPr>
      </w:r>
    </w:p>
    <w:p>
      <w:pPr>
        <w:pStyle w:val="Heading6"/>
        <w:ind w:hanging="0" w:start="0"/>
        <w:rPr/>
      </w:pPr>
      <w:r>
        <w:rPr/>
        <w:t>COMMERCIAL PAPER -</w:t>
      </w:r>
    </w:p>
    <w:p>
      <w:pPr>
        <w:pStyle w:val="Normal"/>
        <w:numPr>
          <w:ilvl w:val="0"/>
          <w:numId w:val="2"/>
        </w:numPr>
        <w:spacing w:lineRule="atLeast" w:line="240"/>
        <w:rPr>
          <w:color w:val="000000"/>
        </w:rPr>
      </w:pPr>
      <w:r>
        <w:rPr>
          <w:color w:val="000000"/>
        </w:rPr>
        <w:t>Exclusive responsibility for drafting, reviewing and executing all Commercial Paper documentation.  TD Securities leads the Canadian Dealer Market with form of Dealer Agreement which I had the responsibility to draft. Involved in internet dealer recommendations committee of the Investment Dealer Association.</w:t>
      </w:r>
    </w:p>
    <w:p>
      <w:pPr>
        <w:pStyle w:val="Normal"/>
        <w:spacing w:lineRule="atLeast" w:line="240"/>
        <w:rPr>
          <w:color w:val="000000"/>
        </w:rPr>
      </w:pPr>
      <w:r>
        <w:rPr>
          <w:color w:val="000000"/>
        </w:rPr>
      </w:r>
    </w:p>
    <w:p>
      <w:pPr>
        <w:pStyle w:val="Normal"/>
        <w:spacing w:lineRule="atLeast" w:line="240"/>
        <w:rPr/>
      </w:pPr>
      <w:r>
        <w:rPr>
          <w:b/>
          <w:bCs/>
          <w:color w:val="000000"/>
        </w:rPr>
        <w:t>Derivative Products Seminars</w:t>
      </w:r>
      <w:r>
        <w:rPr>
          <w:color w:val="000000"/>
        </w:rPr>
        <w:t>-</w:t>
      </w:r>
    </w:p>
    <w:p>
      <w:pPr>
        <w:pStyle w:val="Normal"/>
        <w:spacing w:lineRule="atLeast" w:line="240"/>
        <w:rPr>
          <w:color w:val="000000"/>
        </w:rPr>
      </w:pPr>
      <w:r>
        <w:rPr>
          <w:color w:val="000000"/>
        </w:rPr>
      </w:r>
    </w:p>
    <w:p>
      <w:pPr>
        <w:pStyle w:val="Normal"/>
        <w:spacing w:lineRule="atLeast" w:line="240"/>
        <w:rPr>
          <w:color w:val="000000"/>
        </w:rPr>
      </w:pPr>
      <w:r>
        <w:rPr>
          <w:color w:val="000000"/>
        </w:rPr>
        <w:t>ISDA Conference on the 1992 ISDA Master Agreement and EMU Protocol, Toronto, July 1998.</w:t>
      </w:r>
    </w:p>
    <w:p>
      <w:pPr>
        <w:pStyle w:val="Normal"/>
        <w:spacing w:lineRule="atLeast" w:line="240"/>
        <w:rPr>
          <w:color w:val="000000"/>
        </w:rPr>
      </w:pPr>
      <w:r>
        <w:rPr>
          <w:color w:val="000000"/>
        </w:rPr>
        <w:t>Risk Waters Conference on Legal Documentation for Derivatives, London, England, September 2000</w:t>
      </w:r>
    </w:p>
    <w:p>
      <w:pPr>
        <w:pStyle w:val="Normal"/>
        <w:spacing w:lineRule="atLeast" w:line="240"/>
        <w:rPr>
          <w:color w:val="000000"/>
        </w:rPr>
      </w:pPr>
      <w:r>
        <w:rPr>
          <w:color w:val="000000"/>
        </w:rPr>
        <w:t>ISDA Conference on 1992 Master , included Credit Derivatives workshops, Toronto, July 2001</w:t>
      </w:r>
    </w:p>
    <w:p>
      <w:pPr>
        <w:pStyle w:val="Normal"/>
        <w:rPr>
          <w:b/>
          <w:u w:val="single"/>
        </w:rPr>
      </w:pPr>
      <w:r>
        <w:rPr>
          <w:b/>
          <w:u w:val="single"/>
        </w:rPr>
      </w:r>
    </w:p>
    <w:p>
      <w:pPr>
        <w:pStyle w:val="Normal"/>
        <w:rPr/>
      </w:pPr>
      <w:r>
        <w:rPr/>
        <w:t xml:space="preserve">March1997-December 1997 </w:t>
      </w:r>
    </w:p>
    <w:p>
      <w:pPr>
        <w:pStyle w:val="Normal"/>
        <w:rPr>
          <w:b/>
          <w:sz w:val="22"/>
        </w:rPr>
      </w:pPr>
      <w:r>
        <w:rPr>
          <w:b/>
          <w:sz w:val="22"/>
        </w:rPr>
        <w:t>Legal Consultant, Toronto.</w:t>
      </w:r>
    </w:p>
    <w:p>
      <w:pPr>
        <w:pStyle w:val="Normal"/>
        <w:rPr/>
      </w:pPr>
      <w:r>
        <w:rPr/>
        <w:t>Legal consulting and research for private individuals and SBR Consultants.</w:t>
      </w:r>
    </w:p>
    <w:p>
      <w:pPr>
        <w:pStyle w:val="Normal"/>
        <w:rPr/>
      </w:pPr>
      <w:r>
        <w:rPr/>
      </w:r>
    </w:p>
    <w:p>
      <w:pPr>
        <w:pStyle w:val="Normal"/>
        <w:rPr/>
      </w:pPr>
      <w:r>
        <w:rPr/>
        <w:t>May 1996-February 1997</w:t>
      </w:r>
    </w:p>
    <w:p>
      <w:pPr>
        <w:pStyle w:val="Heading2"/>
        <w:ind w:hanging="0" w:start="0"/>
        <w:rPr/>
      </w:pPr>
      <w:r>
        <w:rPr>
          <w:rFonts w:cs="Times New Roman" w:ascii="Times New Roman" w:hAnsi="Times New Roman"/>
          <w:sz w:val="22"/>
        </w:rPr>
        <w:t>Montreal Trust Company of Canada, Scotiabank Group of Companies, Toronto</w:t>
      </w:r>
      <w:r>
        <w:rPr>
          <w:rFonts w:cs="Times New Roman" w:ascii="Times New Roman" w:hAnsi="Times New Roman"/>
        </w:rPr>
        <w:t>.</w:t>
      </w:r>
    </w:p>
    <w:p>
      <w:pPr>
        <w:pStyle w:val="Normal"/>
        <w:rPr/>
      </w:pPr>
      <w:r>
        <w:rPr/>
        <w:t>Corporate Trust Officer</w:t>
      </w:r>
    </w:p>
    <w:p>
      <w:pPr>
        <w:pStyle w:val="Normal"/>
        <w:rPr/>
      </w:pPr>
      <w:r>
        <w:rPr/>
        <w:t>Negotiation, review and drafting securities law documentation including asset backed securities agreements, escrow agreements, special warrant agreements and share purchase</w:t>
      </w:r>
      <w:r>
        <w:rPr>
          <w:sz w:val="22"/>
        </w:rPr>
        <w:t xml:space="preserve"> </w:t>
      </w:r>
      <w:r>
        <w:rPr/>
        <w:t>agreements with legal counsel and counterparties. Investment action in stock and bond transfer.</w:t>
      </w:r>
    </w:p>
    <w:p>
      <w:pPr>
        <w:pStyle w:val="Normal"/>
        <w:rPr/>
      </w:pPr>
      <w:r>
        <w:rPr/>
      </w:r>
    </w:p>
    <w:p>
      <w:pPr>
        <w:pStyle w:val="Normal"/>
        <w:rPr/>
      </w:pPr>
      <w:r>
        <w:rPr/>
        <w:t>September 1995-1996</w:t>
      </w:r>
    </w:p>
    <w:p>
      <w:pPr>
        <w:pStyle w:val="Heading2"/>
        <w:ind w:hanging="0" w:start="0"/>
        <w:rPr/>
      </w:pPr>
      <w:r>
        <w:rPr>
          <w:rFonts w:cs="Times New Roman" w:ascii="Times New Roman" w:hAnsi="Times New Roman"/>
          <w:sz w:val="22"/>
        </w:rPr>
        <w:t>Ramjass, Sagara and Baboolal Law Firm,Toronto</w:t>
      </w:r>
      <w:r>
        <w:rPr>
          <w:rFonts w:cs="Times New Roman" w:ascii="Times New Roman" w:hAnsi="Times New Roman"/>
        </w:rPr>
        <w:t>.</w:t>
      </w:r>
    </w:p>
    <w:p>
      <w:pPr>
        <w:pStyle w:val="Normal"/>
        <w:rPr/>
      </w:pPr>
      <w:r>
        <w:rPr/>
        <w:t>Legal research and preparation of legal briefs in Corporate Law and Estate Law.</w:t>
      </w:r>
    </w:p>
    <w:p>
      <w:pPr>
        <w:pStyle w:val="Normal"/>
        <w:rPr/>
      </w:pPr>
      <w:r>
        <w:rPr/>
      </w:r>
    </w:p>
    <w:p>
      <w:pPr>
        <w:pStyle w:val="Normal"/>
        <w:rPr/>
      </w:pPr>
      <w:r>
        <w:rPr/>
        <w:t>1993-June 1995</w:t>
      </w:r>
    </w:p>
    <w:p>
      <w:pPr>
        <w:pStyle w:val="Heading2"/>
        <w:ind w:hanging="0" w:start="0"/>
        <w:rPr>
          <w:rFonts w:ascii="Times New Roman" w:hAnsi="Times New Roman" w:cs="Times New Roman"/>
          <w:sz w:val="22"/>
        </w:rPr>
      </w:pPr>
      <w:r>
        <w:rPr>
          <w:rFonts w:cs="Times New Roman" w:ascii="Times New Roman" w:hAnsi="Times New Roman"/>
          <w:sz w:val="22"/>
        </w:rPr>
        <w:t>The Law Commisssion of Trinidad and Tobago, Trinidad.</w:t>
      </w:r>
    </w:p>
    <w:p>
      <w:pPr>
        <w:pStyle w:val="Normal"/>
        <w:rPr/>
      </w:pPr>
      <w:r>
        <w:rPr/>
        <w:t>State Attorney</w:t>
      </w:r>
    </w:p>
    <w:p>
      <w:pPr>
        <w:pStyle w:val="Normal"/>
        <w:rPr/>
      </w:pPr>
      <w:r>
        <w:rPr/>
        <w:t>Legal research and drafting of the laws of Trinidad and Tobago with particular emphasis on International Law and Corporate Banking Law. Implementation and preparation of legislation for reform of Banking Act. Advisor to Foreign Affairs Team. Nominee to Attorney General Team on Public Service Reform.</w:t>
      </w:r>
    </w:p>
    <w:p>
      <w:pPr>
        <w:pStyle w:val="Normal"/>
        <w:rPr/>
      </w:pPr>
      <w:r>
        <w:rPr/>
      </w:r>
    </w:p>
    <w:p>
      <w:pPr>
        <w:pStyle w:val="Heading3"/>
        <w:ind w:hanging="0" w:start="0"/>
        <w:rPr>
          <w:rFonts w:ascii="Times New Roman" w:hAnsi="Times New Roman" w:cs="Times New Roman"/>
          <w:sz w:val="22"/>
        </w:rPr>
      </w:pPr>
      <w:r>
        <w:rPr>
          <w:rFonts w:cs="Times New Roman" w:ascii="Times New Roman" w:hAnsi="Times New Roman"/>
          <w:sz w:val="22"/>
        </w:rPr>
        <w:t>Education</w:t>
      </w:r>
    </w:p>
    <w:p>
      <w:pPr>
        <w:pStyle w:val="Normal"/>
        <w:rPr>
          <w:rFonts w:ascii="Times New Roman" w:hAnsi="Times New Roman" w:cs="Times New Roman"/>
          <w:b/>
          <w:sz w:val="22"/>
          <w:u w:val="single"/>
        </w:rPr>
      </w:pPr>
      <w:r>
        <w:rPr>
          <w:rFonts w:cs="Times New Roman"/>
          <w:b/>
          <w:sz w:val="22"/>
          <w:u w:val="single"/>
        </w:rPr>
      </w:r>
    </w:p>
    <w:p>
      <w:pPr>
        <w:pStyle w:val="Heading2"/>
        <w:ind w:hanging="0" w:start="0"/>
        <w:rPr>
          <w:rFonts w:ascii="Times New Roman" w:hAnsi="Times New Roman" w:cs="Times New Roman"/>
        </w:rPr>
      </w:pPr>
      <w:r>
        <w:rPr>
          <w:rFonts w:cs="Times New Roman" w:ascii="Times New Roman" w:hAnsi="Times New Roman"/>
        </w:rPr>
        <w:t xml:space="preserve">University of Toronto, Faculty of Law,  </w:t>
      </w:r>
    </w:p>
    <w:p>
      <w:pPr>
        <w:pStyle w:val="Normal"/>
        <w:rPr/>
      </w:pPr>
      <w:r>
        <w:rPr/>
        <w:t>Bachelor of Laws Accreditation ,1996</w:t>
      </w:r>
    </w:p>
    <w:p>
      <w:pPr>
        <w:pStyle w:val="Heading2"/>
        <w:ind w:hanging="0" w:start="0"/>
        <w:rPr>
          <w:rFonts w:ascii="Times New Roman" w:hAnsi="Times New Roman" w:cs="Times New Roman"/>
        </w:rPr>
      </w:pPr>
      <w:r>
        <w:rPr>
          <w:rFonts w:cs="Times New Roman" w:ascii="Times New Roman" w:hAnsi="Times New Roman"/>
        </w:rPr>
      </w:r>
    </w:p>
    <w:p>
      <w:pPr>
        <w:pStyle w:val="Heading2"/>
        <w:ind w:hanging="0" w:start="0"/>
        <w:rPr>
          <w:rFonts w:ascii="Times New Roman" w:hAnsi="Times New Roman" w:cs="Times New Roman"/>
        </w:rPr>
      </w:pPr>
      <w:r>
        <w:rPr>
          <w:rFonts w:cs="Times New Roman" w:ascii="Times New Roman" w:hAnsi="Times New Roman"/>
        </w:rPr>
        <w:t>Hugh Wooding Law School, (Bar Course)</w:t>
      </w:r>
    </w:p>
    <w:p>
      <w:pPr>
        <w:pStyle w:val="Normal"/>
        <w:rPr/>
      </w:pPr>
      <w:r>
        <w:rPr/>
        <w:t>Legal Certificate of Education, 1992</w:t>
      </w:r>
    </w:p>
    <w:p>
      <w:pPr>
        <w:pStyle w:val="Normal"/>
        <w:rPr/>
      </w:pPr>
      <w:r>
        <w:rPr/>
        <w:t>Admitted to the Bar of the Supreme Court of Judicature of Trinidad and Tobago, 1992</w:t>
      </w:r>
    </w:p>
    <w:p>
      <w:pPr>
        <w:pStyle w:val="Normal"/>
        <w:rPr/>
      </w:pPr>
      <w:r>
        <w:rPr/>
      </w:r>
    </w:p>
    <w:p>
      <w:pPr>
        <w:pStyle w:val="Heading2"/>
        <w:ind w:hanging="0" w:start="0"/>
        <w:rPr>
          <w:rFonts w:ascii="Times New Roman" w:hAnsi="Times New Roman" w:cs="Times New Roman"/>
        </w:rPr>
      </w:pPr>
      <w:r>
        <w:rPr>
          <w:rFonts w:cs="Times New Roman" w:ascii="Times New Roman" w:hAnsi="Times New Roman"/>
        </w:rPr>
        <w:t>University of The West Indies</w:t>
      </w:r>
    </w:p>
    <w:p>
      <w:pPr>
        <w:pStyle w:val="Normal"/>
        <w:rPr/>
      </w:pPr>
      <w:r>
        <w:rPr/>
        <w:t>Master of Laws Seminars in International Law,1990</w:t>
      </w:r>
    </w:p>
    <w:p>
      <w:pPr>
        <w:pStyle w:val="Normal"/>
        <w:jc w:val="both"/>
        <w:rPr/>
      </w:pPr>
      <w:r>
        <w:rPr/>
        <w:t>Bachelor of Laws, Honours,1989</w:t>
      </w:r>
    </w:p>
    <w:p>
      <w:pPr>
        <w:pStyle w:val="Normal"/>
        <w:rPr/>
      </w:pPr>
      <w:r>
        <w:rPr/>
      </w:r>
    </w:p>
    <w:p>
      <w:pPr>
        <w:pStyle w:val="Heading2"/>
        <w:ind w:hanging="0" w:start="0"/>
        <w:rPr>
          <w:rFonts w:ascii="Times New Roman" w:hAnsi="Times New Roman" w:cs="Times New Roman"/>
        </w:rPr>
      </w:pPr>
      <w:r>
        <w:rPr>
          <w:rFonts w:cs="Times New Roman" w:ascii="Times New Roman" w:hAnsi="Times New Roman"/>
        </w:rPr>
        <w:t>Dalhousie University</w:t>
      </w:r>
    </w:p>
    <w:p>
      <w:pPr>
        <w:pStyle w:val="Normal"/>
        <w:rPr/>
      </w:pPr>
      <w:r>
        <w:rPr/>
        <w:t>Bachelor of Arts and Sciences Program, Year One,1986</w:t>
      </w:r>
    </w:p>
    <w:p>
      <w:pPr>
        <w:pStyle w:val="Normal"/>
        <w:rPr/>
      </w:pPr>
      <w:r>
        <w:rPr/>
      </w:r>
    </w:p>
    <w:p>
      <w:pPr>
        <w:pStyle w:val="Heading2"/>
        <w:ind w:hanging="0" w:start="0"/>
        <w:rPr>
          <w:rFonts w:ascii="Times New Roman" w:hAnsi="Times New Roman" w:cs="Times New Roman"/>
          <w:sz w:val="22"/>
          <w:u w:val="single"/>
        </w:rPr>
      </w:pPr>
      <w:r>
        <w:rPr>
          <w:rFonts w:cs="Times New Roman" w:ascii="Times New Roman" w:hAnsi="Times New Roman"/>
          <w:sz w:val="22"/>
          <w:u w:val="single"/>
        </w:rPr>
        <w:t>Memberships</w:t>
      </w:r>
    </w:p>
    <w:p>
      <w:pPr>
        <w:pStyle w:val="Normal"/>
        <w:rPr/>
      </w:pPr>
      <w:r>
        <w:rPr/>
        <w:t>Member of Canadian Bar Association</w:t>
      </w:r>
    </w:p>
    <w:p>
      <w:pPr>
        <w:pStyle w:val="Normal"/>
        <w:rPr/>
      </w:pPr>
      <w:r>
        <w:rPr/>
        <w:t>Member of Trinidad and Tobago Bar</w:t>
      </w:r>
    </w:p>
    <w:p>
      <w:pPr>
        <w:pStyle w:val="Normal"/>
        <w:rPr/>
      </w:pPr>
      <w:r>
        <w:rPr/>
      </w:r>
    </w:p>
    <w:p>
      <w:pPr>
        <w:pStyle w:val="Heading2"/>
        <w:ind w:hanging="0" w:start="0"/>
        <w:rPr>
          <w:rFonts w:ascii="Times New Roman" w:hAnsi="Times New Roman" w:cs="Times New Roman"/>
          <w:sz w:val="22"/>
          <w:u w:val="single"/>
        </w:rPr>
      </w:pPr>
      <w:r>
        <w:rPr>
          <w:rFonts w:cs="Times New Roman" w:ascii="Times New Roman" w:hAnsi="Times New Roman"/>
          <w:sz w:val="22"/>
          <w:u w:val="single"/>
        </w:rPr>
        <w:t>Transferable Skills</w:t>
      </w:r>
    </w:p>
    <w:p>
      <w:pPr>
        <w:pStyle w:val="Normal"/>
        <w:rPr>
          <w:rFonts w:ascii="Times New Roman" w:hAnsi="Times New Roman" w:cs="Times New Roman"/>
          <w:sz w:val="22"/>
          <w:u w:val="single"/>
        </w:rPr>
      </w:pPr>
      <w:r>
        <w:rPr>
          <w:rFonts w:cs="Times New Roman"/>
          <w:sz w:val="22"/>
          <w:u w:val="single"/>
        </w:rPr>
      </w:r>
    </w:p>
    <w:p>
      <w:pPr>
        <w:pStyle w:val="Normal"/>
        <w:rPr/>
      </w:pPr>
      <w:r>
        <w:rPr/>
        <w:t>Analytical Skills: Meticulous assessment of facts and theories</w:t>
      </w:r>
    </w:p>
    <w:p>
      <w:pPr>
        <w:pStyle w:val="Normal"/>
        <w:rPr/>
      </w:pPr>
      <w:r>
        <w:rPr/>
        <w:t>Negotiation Skills: Skillful and diplomatic dispute resolution</w:t>
      </w:r>
    </w:p>
    <w:p>
      <w:pPr>
        <w:pStyle w:val="Normal"/>
        <w:rPr/>
      </w:pPr>
      <w:r>
        <w:rPr/>
        <w:t>Communication Skills: Effective and dynamic interpersonal skills</w:t>
      </w:r>
    </w:p>
    <w:p>
      <w:pPr>
        <w:pStyle w:val="Normal"/>
        <w:rPr/>
      </w:pPr>
      <w:r>
        <w:rPr/>
        <w:t>Organizational Skills: Excellent time management skills, exceptional on time performance</w:t>
      </w:r>
    </w:p>
    <w:p>
      <w:pPr>
        <w:pStyle w:val="Normal"/>
        <w:rPr/>
      </w:pPr>
      <w:r>
        <w:rPr/>
      </w:r>
    </w:p>
    <w:p>
      <w:pPr>
        <w:pStyle w:val="Normal"/>
        <w:rPr/>
      </w:pPr>
      <w:r>
        <w:rPr/>
        <w:t>Computer skills- Advanced computer literacy including superior knowledge of Word, Lotus Notes, Authorized Credit Systems, Wordperfect, Internet, Maximizer, Excel, Microsoft Outlook and the Internet.</w:t>
      </w:r>
    </w:p>
    <w:p>
      <w:pPr>
        <w:pStyle w:val="Normal"/>
        <w:rPr/>
      </w:pPr>
      <w:r>
        <w:rPr/>
      </w:r>
    </w:p>
    <w:p>
      <w:pPr>
        <w:pStyle w:val="Normal"/>
        <w:rPr/>
      </w:pPr>
      <w:r>
        <w:rPr/>
        <w:t>Language skills - oral and written  Spanish and knowledge of French</w:t>
      </w:r>
    </w:p>
    <w:p>
      <w:pPr>
        <w:pStyle w:val="Normal"/>
        <w:rPr/>
      </w:pPr>
      <w:r>
        <w:rPr/>
      </w:r>
    </w:p>
    <w:p>
      <w:pPr>
        <w:pStyle w:val="Normal"/>
        <w:rPr/>
      </w:pPr>
      <w:r>
        <w:rPr/>
      </w:r>
    </w:p>
    <w:p>
      <w:pPr>
        <w:pStyle w:val="Normal"/>
        <w:ind w:start="144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Univers" w:hAnsi="Univers" w:cs="Univers"/>
      <w:b/>
      <w:sz w:val="22"/>
      <w:u w:val="single"/>
    </w:rPr>
  </w:style>
  <w:style w:type="paragraph" w:styleId="Heading2">
    <w:name w:val="heading 2"/>
    <w:basedOn w:val="Normal"/>
    <w:next w:val="Normal"/>
    <w:qFormat/>
    <w:pPr>
      <w:keepNext w:val="true"/>
      <w:numPr>
        <w:ilvl w:val="1"/>
        <w:numId w:val="1"/>
      </w:numPr>
      <w:outlineLvl w:val="1"/>
    </w:pPr>
    <w:rPr>
      <w:rFonts w:ascii="Univers" w:hAnsi="Univers" w:cs="Univers"/>
      <w:b/>
    </w:rPr>
  </w:style>
  <w:style w:type="paragraph" w:styleId="Heading3">
    <w:name w:val="heading 3"/>
    <w:basedOn w:val="Normal"/>
    <w:next w:val="Normal"/>
    <w:qFormat/>
    <w:pPr>
      <w:keepNext w:val="true"/>
      <w:numPr>
        <w:ilvl w:val="2"/>
        <w:numId w:val="1"/>
      </w:numPr>
      <w:outlineLvl w:val="2"/>
    </w:pPr>
    <w:rPr>
      <w:rFonts w:ascii="Univers" w:hAnsi="Univers" w:cs="Univers"/>
      <w:b/>
      <w:u w:val="single"/>
    </w:rPr>
  </w:style>
  <w:style w:type="paragraph" w:styleId="Heading4">
    <w:name w:val="heading 4"/>
    <w:basedOn w:val="Normal"/>
    <w:next w:val="Normal"/>
    <w:qFormat/>
    <w:pPr>
      <w:keepNext w:val="true"/>
      <w:numPr>
        <w:ilvl w:val="3"/>
        <w:numId w:val="1"/>
      </w:numPr>
      <w:outlineLvl w:val="3"/>
    </w:pPr>
    <w:rPr>
      <w:rFonts w:ascii="Univers" w:hAnsi="Univers" w:cs="Univers"/>
      <w:b/>
      <w:sz w:val="22"/>
    </w:rPr>
  </w:style>
  <w:style w:type="paragraph" w:styleId="Heading5">
    <w:name w:val="heading 5"/>
    <w:basedOn w:val="Normal"/>
    <w:next w:val="Normal"/>
    <w:qFormat/>
    <w:pPr>
      <w:keepNext w:val="true"/>
      <w:numPr>
        <w:ilvl w:val="4"/>
        <w:numId w:val="1"/>
      </w:numPr>
      <w:outlineLvl w:val="4"/>
    </w:pPr>
    <w:rPr>
      <w:rFonts w:ascii="Univers" w:hAnsi="Univers" w:cs="Univers"/>
      <w:b/>
      <w:i/>
      <w:iCs/>
      <w:sz w:val="22"/>
    </w:rPr>
  </w:style>
  <w:style w:type="paragraph" w:styleId="Heading6">
    <w:name w:val="heading 6"/>
    <w:basedOn w:val="Normal"/>
    <w:next w:val="Normal"/>
    <w:qFormat/>
    <w:pPr>
      <w:keepNext w:val="true"/>
      <w:numPr>
        <w:ilvl w:val="5"/>
        <w:numId w:val="1"/>
      </w:numPr>
      <w:spacing w:lineRule="atLeast" w:line="240"/>
      <w:outlineLvl w:val="5"/>
    </w:pPr>
    <w:rPr>
      <w:b/>
      <w:bCs/>
      <w:color w:val="000000"/>
    </w:rPr>
  </w:style>
  <w:style w:type="character" w:styleId="WW8Num1z0">
    <w:name w:val="WW8Num1z0"/>
    <w:qFormat/>
    <w:rPr>
      <w:rFonts w:ascii="Times New Roman" w:hAnsi="Times New Roman" w:cs="Times New Roman"/>
    </w:rPr>
  </w:style>
  <w:style w:type="character" w:styleId="WW8Num2z0">
    <w:name w:val="WW8Num2z0"/>
    <w:qFormat/>
    <w:rPr>
      <w:rFonts w:ascii="Times New Roman" w:hAnsi="Times New Roman" w:cs="Times New Roman"/>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2001-09-10T13:40:00Z</dcterms:created>
  <dc:creator>LAN SERVICES</dc:creator>
  <dc:description/>
  <dc:language>en-CA</dc:language>
  <cp:lastModifiedBy>mri</cp:lastModifiedBy>
  <cp:lastPrinted>2001-09-04T09:12:00Z</cp:lastPrinted>
  <dcterms:modified xsi:type="dcterms:W3CDTF">2001-09-10T13:40:00Z</dcterms:modified>
  <cp:revision>2</cp:revision>
  <dc:subject/>
  <dc:title>DEBBIE I</dc:title>
</cp:coreProperties>
</file>