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Global Finance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1530"/>
        <w:gridCol w:w="1440"/>
        <w:gridCol w:w="1530"/>
        <w:gridCol w:w="1530"/>
        <w:gridCol w:w="1350"/>
        <w:gridCol w:w="990"/>
        <w:gridCol w:w="990"/>
        <w:gridCol w:w="1170"/>
        <w:gridCol w:w="1260"/>
      </w:tblGrid>
      <w:tr>
        <w:trPr>
          <w:trHeight w:val="584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EOG</w:t>
            </w:r>
            <w:r>
              <w:rPr>
                <w:rFonts w:cs="Arial" w:ascii="Arial" w:hAnsi="Arial"/>
              </w:rPr>
              <w:t xml:space="preserve"> – Monetization of EOG Stock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(Mayer, Brown)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(11/17)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 xml:space="preserve">Hawaii Term Out </w:t>
            </w:r>
            <w:r>
              <w:rPr>
                <w:rFonts w:cs="Arial" w:ascii="Arial" w:hAnsi="Arial"/>
              </w:rPr>
              <w:t>– Creation of a long term Hawaii facility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(11/15)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Yosemite I &amp; II Equity</w:t>
            </w:r>
            <w:r>
              <w:rPr>
                <w:rFonts w:cs="Arial" w:ascii="Arial" w:hAnsi="Arial"/>
              </w:rPr>
              <w:t xml:space="preserve"> – Sale of equity from Enron and Condor to AIG or others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McDowell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(11/30)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Project Campaign 2K</w:t>
            </w:r>
            <w:r>
              <w:rPr>
                <w:rFonts w:cs="Arial" w:ascii="Arial" w:hAnsi="Arial"/>
              </w:rPr>
              <w:t xml:space="preserve"> - Avici, Catalytica, McGarrett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CIBC</w:t>
            </w:r>
            <w:r>
              <w:rPr>
                <w:rFonts w:cs="Arial" w:ascii="Arial" w:hAnsi="Arial"/>
              </w:rPr>
              <w:t xml:space="preserve"> – $250MM sale into existing structure of Enron entity receivables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Citrus Corp.</w:t>
            </w:r>
            <w:r>
              <w:rPr>
                <w:rFonts w:cs="Arial" w:ascii="Arial" w:hAnsi="Arial"/>
              </w:rPr>
              <w:t xml:space="preserve"> - $350MM 144A senior unsecured debt offering of Florida Gas Transmission Company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Hayslett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Schroeder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Rogers/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McCoppin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(W. Lee)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 Securities (Bracewell-G. Orloff)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 xml:space="preserve">JT Holdings </w:t>
            </w:r>
            <w:r>
              <w:rPr>
                <w:rFonts w:cs="Arial" w:ascii="Arial" w:hAnsi="Arial"/>
              </w:rPr>
              <w:t xml:space="preserve"> - $110MM extension or refinance of synthetic lease structure for methanol plant/storage facilities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F. Tovar)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Citicorp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(Chadbourn)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Global Finance</w:t>
      </w:r>
      <w:r>
        <w:rPr>
          <w:rFonts w:cs="Arial" w:ascii="Arial" w:hAnsi="Arial"/>
          <w:b/>
        </w:rPr>
        <w:t xml:space="preserve"> (Page 2)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620"/>
        <w:gridCol w:w="1530"/>
        <w:gridCol w:w="1350"/>
        <w:gridCol w:w="1530"/>
        <w:gridCol w:w="117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(Specialist)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Project Monte</w:t>
            </w:r>
            <w:r>
              <w:rPr>
                <w:rFonts w:cs="Arial" w:ascii="Arial" w:hAnsi="Arial"/>
              </w:rPr>
              <w:t>- Increase CP program through increase of insurance policy and extend through Q1, 2001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LeBoeuf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Betz)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Barclays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(Bracewell-B.Hayes)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Closed; extension is forth coming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1/2/3/4</w:t>
            </w:r>
            <w:r>
              <w:rPr>
                <w:rFonts w:cs="Arial" w:ascii="Arial" w:hAnsi="Arial"/>
              </w:rPr>
              <w:t xml:space="preserve"> – Amend structure and enter into hedges; Merger of Raptor II &amp; III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Shackleton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Curry)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LJM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(K&amp;E-M.Edsall)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Euro</w:t>
            </w:r>
            <w:r>
              <w:rPr>
                <w:rFonts w:cs="Arial" w:ascii="Arial" w:hAnsi="Arial"/>
              </w:rPr>
              <w:t xml:space="preserve"> – Partial unwind of Swap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Nogid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Slaughter &amp; May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(Sanjev)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Airplane Sale</w:t>
            </w:r>
            <w:r>
              <w:rPr>
                <w:rFonts w:cs="Arial" w:ascii="Arial" w:hAnsi="Arial"/>
              </w:rPr>
              <w:t>-Unwind lease structure to allow sale of airplanes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Bulgawicz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Locke Liddell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Pieringer)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/>
        <w:t xml:space="preserve"> </w:t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North America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530"/>
        <w:gridCol w:w="1440"/>
        <w:gridCol w:w="1620"/>
        <w:gridCol w:w="1440"/>
        <w:gridCol w:w="1170"/>
        <w:gridCol w:w="90"/>
        <w:gridCol w:w="108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American Coal</w:t>
            </w:r>
            <w:r>
              <w:rPr>
                <w:rFonts w:cs="Arial" w:ascii="Arial" w:hAnsi="Arial"/>
              </w:rPr>
              <w:t>-Sale of loan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J. Grace/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McCullough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(J. Dawson)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Bridgeline</w:t>
            </w:r>
            <w:r>
              <w:rPr>
                <w:rFonts w:cs="Arial" w:ascii="Arial" w:hAnsi="Arial"/>
              </w:rPr>
              <w:t xml:space="preserve"> – leveraging of existing JV with Texaco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Dutt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(Karathanos)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Daniel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Locke Liddell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(Marcus Watts)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Garden State</w:t>
            </w:r>
            <w:r>
              <w:rPr>
                <w:rFonts w:cs="Arial" w:ascii="Arial" w:hAnsi="Arial"/>
              </w:rPr>
              <w:t>-Acquisition financing of a paper and pulp company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 del Vecchio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LeBoef Lamb (B. Clark)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INGA</w:t>
            </w:r>
            <w:r>
              <w:rPr>
                <w:rFonts w:cs="Arial" w:ascii="Arial" w:hAnsi="Arial"/>
              </w:rPr>
              <w:t xml:space="preserve"> – Acquisition financing of power plants through Hawaii – Ahlstrom Holdings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Stoler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Milbank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(K. Wong)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 (Mayer Brown)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TexMex II</w:t>
            </w:r>
            <w:r>
              <w:rPr>
                <w:rFonts w:cs="Arial" w:ascii="Arial" w:hAnsi="Arial"/>
              </w:rPr>
              <w:t xml:space="preserve"> – Transmission line financing through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Carter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B&amp;P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Thompson)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N`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phase);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qtr. 2001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phase)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Syndication of $102MM insurance secured credit facility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T. Proffitt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Perich)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(Mayer, Brown)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 xml:space="preserve">th </w:t>
            </w:r>
            <w:r>
              <w:rPr>
                <w:rFonts w:cs="Arial" w:ascii="Arial" w:hAnsi="Arial"/>
              </w:rPr>
              <w:t>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Sale of LJM2’s interest in BWT to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Iguana</w:t>
            </w:r>
            <w:r>
              <w:rPr>
                <w:rFonts w:cs="Arial" w:ascii="Arial" w:hAnsi="Arial"/>
              </w:rPr>
              <w:t xml:space="preserve"> - $200MM FAS125 redo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Keyes/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Alicia Curry)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Joshua Tree</w:t>
            </w:r>
            <w:r>
              <w:rPr>
                <w:rFonts w:cs="Arial" w:ascii="Arial" w:hAnsi="Arial"/>
              </w:rPr>
              <w:t xml:space="preserve"> – $250MM financing structure to accommodate volumetric production payment transactions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Bushman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Thompson Knight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(J. Rain)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 of 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(Bracewell-R. Miles)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North America</w:t>
      </w:r>
      <w:r>
        <w:rPr>
          <w:rFonts w:cs="Arial" w:ascii="Arial" w:hAnsi="Arial"/>
          <w:b/>
        </w:rPr>
        <w:t xml:space="preserve"> (Page 2)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530"/>
        <w:gridCol w:w="1440"/>
        <w:gridCol w:w="1620"/>
        <w:gridCol w:w="144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Electric Generation Development Program</w:t>
            </w:r>
            <w:r>
              <w:rPr>
                <w:rFonts w:cs="Arial" w:ascii="Arial" w:hAnsi="Arial"/>
              </w:rPr>
              <w:t xml:space="preserve"> - Turbo Park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Tweed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Stoler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Keyes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McKay)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CSFB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(Milbank)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GE Packaged Power</w:t>
            </w:r>
            <w:r>
              <w:rPr>
                <w:rFonts w:cs="Arial" w:ascii="Arial" w:hAnsi="Arial"/>
              </w:rPr>
              <w:t xml:space="preserve"> – LM6000s; structured 97-10 turbine financings and takeouts into various vehicles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Clark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(EE&amp;CC)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Jacoby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(ENA)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Enovate</w:t>
            </w:r>
            <w:r>
              <w:rPr>
                <w:rFonts w:cs="Arial" w:ascii="Arial" w:hAnsi="Arial"/>
              </w:rPr>
              <w:t>-Financing for JV with Peoples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Bracewell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(H.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Fuji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Velocity</w:t>
            </w:r>
            <w:r>
              <w:rPr>
                <w:rFonts w:cs="Arial" w:ascii="Arial" w:hAnsi="Arial"/>
              </w:rPr>
              <w:t xml:space="preserve">- $500 MM Transfer of ENA Raptor and other assets into Condor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Deffner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(N.Imus/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V. Moreland)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Triple Lutz</w:t>
            </w:r>
            <w:r>
              <w:rPr>
                <w:rFonts w:cs="Arial" w:ascii="Arial" w:hAnsi="Arial"/>
              </w:rPr>
              <w:t>-Corp. Guaranty of HPL obligations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Ondreko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Chandler)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br w:type="page"/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Europe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620"/>
        <w:gridCol w:w="144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*Enron Outside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Tax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620"/>
        <w:gridCol w:w="1530"/>
        <w:gridCol w:w="1350"/>
        <w:gridCol w:w="1170"/>
        <w:gridCol w:w="990"/>
        <w:gridCol w:w="1170"/>
        <w:gridCol w:w="108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Tammy</w:t>
            </w:r>
            <w:r>
              <w:rPr>
                <w:rFonts w:cs="Arial" w:ascii="Arial" w:hAnsi="Arial"/>
              </w:rPr>
              <w:t xml:space="preserve"> – Tax structured minority interest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 Osterberg)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(Freshfields)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South America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148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440"/>
        <w:gridCol w:w="1170"/>
        <w:gridCol w:w="1170"/>
        <w:gridCol w:w="990"/>
        <w:gridCol w:w="126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SA Turbine RioGen</w:t>
            </w:r>
            <w:r>
              <w:rPr>
                <w:rFonts w:cs="Arial" w:ascii="Arial" w:hAnsi="Arial"/>
              </w:rPr>
              <w:t xml:space="preserve"> – Construction financing for South American Rio Gen project (Elektrobolt and RioGen)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Gay/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Lipshutz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Novak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(obtained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part)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Close – 11/10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close for turbines expected by 11/30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LDC/Rawhide Restructure</w:t>
            </w:r>
            <w:r>
              <w:rPr>
                <w:rFonts w:cs="Arial" w:ascii="Arial" w:hAnsi="Arial"/>
              </w:rPr>
              <w:t xml:space="preserve"> – Transfer 2 SALDC’s into new LLC under Ponderosa Assets – increased $600M to $1B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Schnapper/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F. Stabler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Funk/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Young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Rankin)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(S&amp;S)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  <w:br/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India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tbl>
      <w:tblPr>
        <w:tblW w:w="148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620"/>
        <w:gridCol w:w="144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*Enron Outside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Dahbol</w:t>
            </w:r>
            <w:r>
              <w:rPr>
                <w:rFonts w:cs="Arial" w:ascii="Arial" w:hAnsi="Arial"/>
              </w:rPr>
              <w:t xml:space="preserve"> – Cash flow (through Condor)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W. Gathmann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Katwala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(K. Lewis)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Skadden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(L. Brasher)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 xml:space="preserve">th </w:t>
            </w:r>
            <w:r>
              <w:rPr>
                <w:rFonts w:cs="Arial" w:ascii="Arial" w:hAnsi="Arial"/>
              </w:rPr>
              <w:t>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EES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148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26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Tahiti</w:t>
            </w:r>
            <w:r>
              <w:rPr>
                <w:rFonts w:cs="Arial" w:ascii="Arial" w:hAnsi="Arial"/>
              </w:rPr>
              <w:t xml:space="preserve"> – Monetization of note in Raptor III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Barclay’s (Mayer, Brown)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EBS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48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260"/>
      </w:tblGrid>
      <w:tr>
        <w:trPr>
          <w:trHeight w:val="13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NetWorks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148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26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Equity Fund</w:t>
            </w:r>
            <w:r>
              <w:rPr>
                <w:rFonts w:cs="Arial" w:ascii="Arial" w:hAnsi="Arial"/>
              </w:rPr>
              <w:t xml:space="preserve"> – Raising equity funding vehicle for industrial markets acquisitions and development program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Brown/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Coulter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125</w:t>
            </w:r>
            <w:r>
              <w:rPr>
                <w:rFonts w:cs="Arial" w:ascii="Arial" w:hAnsi="Arial"/>
              </w:rPr>
              <w:t>-Sale of Networks equity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Brown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810" w:right="1440" w:gutter="0" w:header="540" w:top="810" w:footer="483" w:bottom="72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7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3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&amp; PRIVILEGED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b/>
        <w:sz w:val="24"/>
      </w:rPr>
      <w:t>GLOBAL FINANCE LEGAL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DEALFLOW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November 22, 2000</w:t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2000-11-22T17:32:00Z</dcterms:created>
  <dc:creator>jdorsey</dc:creator>
  <dc:description/>
  <dc:language>en-CA</dc:language>
  <cp:lastModifiedBy>dforsyt</cp:lastModifiedBy>
  <cp:lastPrinted>2000-11-15T10:11:00Z</cp:lastPrinted>
  <dcterms:modified xsi:type="dcterms:W3CDTF">2000-11-22T17:41:00Z</dcterms:modified>
  <cp:revision>3</cp:revision>
  <dc:subject/>
  <dc:title>Deal</dc:title>
</cp:coreProperties>
</file>