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9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530"/>
        <w:gridCol w:w="990"/>
        <w:gridCol w:w="630"/>
        <w:gridCol w:w="990"/>
        <w:gridCol w:w="990"/>
        <w:gridCol w:w="2340"/>
        <w:gridCol w:w="2430"/>
        <w:gridCol w:w="3870"/>
        <w:gridCol w:w="810"/>
        <w:gridCol w:w="1530"/>
        <w:gridCol w:w="1080"/>
        <w:gridCol w:w="1080"/>
      </w:tblGrid>
      <w:tr>
        <w:trPr>
          <w:tblHeader w:val="true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Deal #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(TAGG)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MTM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(04/06/01)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(-US$1,915,874)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Confirm Executed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by PG&amp;E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Buy/Sell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Triggering Event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Governing Law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Netting and Set-Off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Procedure to Terminate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Calculation of Termination Damages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DP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Remaining P of 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DCQ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N13588.1/2/3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-US$5,821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limited to </w:t>
            </w:r>
            <w:r>
              <w:rPr>
                <w:sz w:val="18"/>
                <w:u w:val="single"/>
              </w:rPr>
              <w:t>this transaction and any other physical gas sale agreements between the parties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all other rights reserved (ex. equity, counterclaim, etc.)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3 days written notice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any or all transactions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withhold any payments due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no formal provision for notices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compare remaining P/D, DCQ and CP to average of three independent quotes, </w:t>
            </w:r>
            <w:r>
              <w:rPr>
                <w:sz w:val="18"/>
                <w:u w:val="single"/>
              </w:rPr>
              <w:t>plus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associated costs and counsel fees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for each terminated transaction determine if gain or loss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gains and losses </w:t>
            </w:r>
            <w:r>
              <w:rPr>
                <w:sz w:val="18"/>
                <w:u w:val="single"/>
              </w:rPr>
              <w:t>for each terminated transaction netted</w:t>
            </w:r>
            <w:r>
              <w:rPr>
                <w:sz w:val="18"/>
              </w:rPr>
              <w:t xml:space="preserve"> to the Termination Payment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provide written statement of the Termination Payment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Termination Payment to be made within 10 days of </w:t>
            </w:r>
            <w:r>
              <w:rPr>
                <w:sz w:val="18"/>
                <w:u w:val="single"/>
              </w:rPr>
              <w:t>receipt by PG&amp;E</w:t>
            </w:r>
            <w:r>
              <w:rPr>
                <w:sz w:val="18"/>
              </w:rPr>
              <w:t xml:space="preserve"> of statement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each party</w:t>
            </w:r>
            <w:r>
              <w:rPr>
                <w:sz w:val="18"/>
              </w:rPr>
              <w:t xml:space="preserve"> shall pay to other </w:t>
            </w:r>
            <w:r>
              <w:rPr>
                <w:sz w:val="18"/>
                <w:u w:val="single"/>
              </w:rPr>
              <w:t>all additional amounts payable</w:t>
            </w:r>
            <w:r>
              <w:rPr>
                <w:sz w:val="18"/>
              </w:rPr>
              <w:t xml:space="preserve"> (ex. receivables)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+C$0.0050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24,307 GJs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NW8988.1/2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4/1/01 to 4/30/01: US$10,988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5/1/01 to 10/31/01: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-US$137,577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limited to </w:t>
            </w:r>
            <w:r>
              <w:rPr>
                <w:sz w:val="18"/>
                <w:u w:val="single"/>
              </w:rPr>
              <w:t>this transaction and any other physical gas sale agreements between the parties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all other rights reserved (ex. equity, counterclaim, etc.)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4/1/01 to 4/30/01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US$5.1750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5/1/01 to 10/31/01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NX –US$0.3750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MMBtus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Q09929.1/3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-US$26,557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limited to </w:t>
            </w:r>
            <w:r>
              <w:rPr>
                <w:sz w:val="18"/>
                <w:u w:val="single"/>
              </w:rPr>
              <w:t>this transaction and any other physical gas sale agreements between the parties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all other rights reserved (ex. equity, counterclaim, etc.)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–C$0.0325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GJs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Q10524.1/2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-US$33,320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limited to </w:t>
            </w:r>
            <w:r>
              <w:rPr>
                <w:sz w:val="18"/>
                <w:u w:val="single"/>
              </w:rPr>
              <w:t>this transaction and any other physical gas sale agreements between the parties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all other rights reserved (ex. equity, counterclaim, etc.)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–C$0.0425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GJs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Q33141.1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-US$1,354,577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limited to </w:t>
            </w:r>
            <w:r>
              <w:rPr>
                <w:sz w:val="18"/>
                <w:u w:val="single"/>
              </w:rPr>
              <w:t>this transaction and any other physical gas sale agreements between the parties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all other rights reserved (ex. equity, counterclaim, etc.)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C$5.7400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GJs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Q58679.1/2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-US$14,868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applies to </w:t>
            </w:r>
            <w:r>
              <w:rPr>
                <w:sz w:val="18"/>
                <w:u w:val="single"/>
              </w:rPr>
              <w:t>any other agreements between the parties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–US$0.0050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MMBtus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Q74982.1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-US$58,680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applies to </w:t>
            </w:r>
            <w:r>
              <w:rPr>
                <w:sz w:val="18"/>
                <w:u w:val="single"/>
              </w:rPr>
              <w:t>any other agreements between the parties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–C$0.0800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GJs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Q82787.1/2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-US$11,341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applies to </w:t>
            </w:r>
            <w:r>
              <w:rPr>
                <w:sz w:val="18"/>
                <w:u w:val="single"/>
              </w:rPr>
              <w:t>any other agreements between the parties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–C$0.0100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GJs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Q96621.1/2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-US$146,594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applies to </w:t>
            </w:r>
            <w:r>
              <w:rPr>
                <w:sz w:val="18"/>
                <w:u w:val="single"/>
              </w:rPr>
              <w:t>any other agreements between the parties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–C$0.2100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GJs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QA9788.1/2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4/1/01 to 4/30/01: US$21,113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5/1/01 to 10/31/01: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-US$76,291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applies to </w:t>
            </w:r>
            <w:r>
              <w:rPr>
                <w:sz w:val="18"/>
                <w:u w:val="single"/>
              </w:rPr>
              <w:t>any other agreements between the parties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4/1/01 to 4/30/01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US$5.24250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5/1/01 to 10/31/01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NX –US$0.30750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MMBtus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QD3463.1/2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-US$82,349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Sell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Alberta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applies to </w:t>
            </w:r>
            <w:r>
              <w:rPr>
                <w:sz w:val="18"/>
                <w:u w:val="single"/>
              </w:rPr>
              <w:t>any other agreements between the parties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b/>
                <w:sz w:val="18"/>
              </w:rPr>
            </w:pPr>
            <w:r>
              <w:rPr>
                <w:sz w:val="18"/>
              </w:rPr>
              <w:t>SAME AS ABOVE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NOVA/NIT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 –C$0.1150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10/31/01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5000 GJs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9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620"/>
        <w:gridCol w:w="990"/>
        <w:gridCol w:w="630"/>
        <w:gridCol w:w="990"/>
        <w:gridCol w:w="990"/>
        <w:gridCol w:w="2340"/>
        <w:gridCol w:w="2520"/>
        <w:gridCol w:w="3870"/>
        <w:gridCol w:w="810"/>
        <w:gridCol w:w="1530"/>
        <w:gridCol w:w="1080"/>
        <w:gridCol w:w="90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PGE Master Agreement (unexecuted)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California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limited to transactions between the parties under the Master Agreement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2 business days notice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no notice required for insolvency event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terminate Master Agreement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liquidate any or all transactions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 xml:space="preserve">compare “Market Value” to “Contract Value” if “Market Value” exceeds “Contract Value”.  </w:t>
            </w:r>
            <w:r>
              <w:rPr>
                <w:b/>
                <w:sz w:val="18"/>
              </w:rPr>
              <w:t>NOTE: payment is only due to the “Buyer”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set-off all settlement payments into a single liquidated payment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statement of calculations due before the close of the next business day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“Market Value” based on three independent quotes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discount rate at Prime Rate published in WSJ on termination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b/>
                <w:sz w:val="18"/>
              </w:rPr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sz w:val="18"/>
              </w:rPr>
              <w:tab/>
              <w:t>include all costs and expenses (including reasonable attorney’s fees and disbursements)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footerReference w:type="default" r:id="rId2"/>
      <w:type w:val="nextPage"/>
      <w:pgSz w:orient="landscape" w:w="20160" w:h="12240"/>
      <w:pgMar w:left="432" w:right="288" w:gutter="0" w:header="0" w:top="432" w:footer="288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18720" w:leader="none"/>
      </w:tabs>
      <w:rPr/>
    </w:pPr>
    <w:r>
      <w:rPr/>
      <w:tab/>
      <w:t>PG&amp;E</w:t>
    </w:r>
  </w:p>
  <w:p>
    <w:pPr>
      <w:pStyle w:val="Header"/>
      <w:tabs>
        <w:tab w:val="clear" w:pos="4320"/>
        <w:tab w:val="clear" w:pos="8640"/>
        <w:tab w:val="right" w:pos="18720" w:leader="none"/>
      </w:tabs>
      <w:rPr/>
    </w:pPr>
    <w:r>
      <w:rPr>
        <w:lang w:eastAsia="en-US"/>
      </w:rPr>
      <w:fldChar w:fldCharType="begin"/>
    </w:r>
    <w:r>
      <w:rPr>
        <w:lang w:eastAsia="en-US"/>
      </w:rPr>
      <w:instrText xml:space="preserve"> FILENAME \p </w:instrText>
    </w:r>
    <w:r>
      <w:rPr>
        <w:lang w:eastAsia="en-US"/>
      </w:rPr>
      <w:fldChar w:fldCharType="separate"/>
    </w:r>
    <w:r>
      <w:rPr>
        <w:lang w:eastAsia="en-US"/>
      </w:rPr>
      <w:t>/mnt/main-storage/datasets/enron-docs/doc/Deal_Chart_v1.doc</w:t>
    </w:r>
    <w:r>
      <w:rPr>
        <w:lang w:eastAsia="en-US"/>
      </w:rPr>
      <w:fldChar w:fldCharType="end"/>
    </w: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2001-04-08T12:45:00Z</dcterms:created>
  <dc:creator>scrawfo3</dc:creator>
  <dc:description/>
  <dc:language>en-CA</dc:language>
  <cp:lastModifiedBy>scrawfo3</cp:lastModifiedBy>
  <cp:lastPrinted>2001-04-08T12:02:00Z</cp:lastPrinted>
  <dcterms:modified xsi:type="dcterms:W3CDTF">2001-04-08T15:32:00Z</dcterms:modified>
  <cp:revision>10</cp:revision>
  <dc:subject/>
  <dc:title>Deal #</dc:title>
</cp:coreProperties>
</file>