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DAYEM KHANDKER</w:t>
      </w:r>
    </w:p>
    <w:p>
      <w:pPr>
        <w:pStyle w:val="Subtitle"/>
        <w:jc w:val="center"/>
        <w:rPr>
          <w:b w:val="false"/>
        </w:rPr>
      </w:pPr>
      <w:r>
        <w:rPr>
          <w:b w:val="false"/>
        </w:rPr>
        <w:t xml:space="preserve">309 Gray, Apt # 3500 </w:t>
      </w:r>
    </w:p>
    <w:p>
      <w:pPr>
        <w:pStyle w:val="Subtitle"/>
        <w:jc w:val="center"/>
        <w:rPr>
          <w:b w:val="false"/>
        </w:rPr>
      </w:pPr>
      <w:r>
        <w:rPr>
          <w:b w:val="false"/>
        </w:rPr>
        <w:t xml:space="preserve"> </w:t>
      </w:r>
      <w:r>
        <w:rPr>
          <w:b w:val="false"/>
        </w:rPr>
        <w:t>Houston, TX 77002</w:t>
      </w:r>
    </w:p>
    <w:p>
      <w:pPr>
        <w:pStyle w:val="Normal"/>
        <w:jc w:val="center"/>
        <w:rPr/>
      </w:pPr>
      <w:r>
        <w:rPr/>
        <w:t>dayemkhandker@yahoo.com</w:t>
      </w:r>
    </w:p>
    <w:p>
      <w:pPr>
        <w:pStyle w:val="Normal"/>
        <w:jc w:val="center"/>
        <w:rPr/>
      </w:pPr>
      <w:r>
        <w:rPr/>
        <w:t>Home: (713) 807-9365, Mobile: (713) 320-6606</w:t>
      </w:r>
    </w:p>
    <w:p>
      <w:pPr>
        <w:pStyle w:val="Normal"/>
        <w:rPr>
          <w:sz w:val="4"/>
        </w:rPr>
      </w:pPr>
      <w:r>
        <w:rPr>
          <w:sz w:val="4"/>
        </w:rPr>
      </w:r>
    </w:p>
    <w:p>
      <w:pPr>
        <w:pStyle w:val="Normal"/>
        <w:pBdr>
          <w:bottom w:val="single" w:sz="4" w:space="1" w:color="000000"/>
        </w:pBdr>
        <w:jc w:val="both"/>
        <w:rPr>
          <w:sz w:val="12"/>
        </w:rPr>
      </w:pPr>
      <w:r>
        <w:rPr>
          <w:sz w:val="16"/>
        </w:rPr>
        <w:t xml:space="preserve"> </w:t>
      </w:r>
    </w:p>
    <w:p>
      <w:pPr>
        <w:pStyle w:val="Heading2"/>
        <w:ind w:hanging="0" w:start="0"/>
        <w:rPr>
          <w:sz w:val="26"/>
        </w:rPr>
      </w:pPr>
      <w:r>
        <w:rPr>
          <w:sz w:val="26"/>
        </w:rPr>
        <w:t xml:space="preserve">WORK EXPERIENCE </w:t>
      </w:r>
    </w:p>
    <w:p>
      <w:pPr>
        <w:pStyle w:val="Normal"/>
        <w:rPr/>
      </w:pPr>
      <w:r>
        <w:rPr/>
        <w:tab/>
      </w:r>
      <w:r>
        <w:rPr>
          <w:b/>
          <w:sz w:val="24"/>
        </w:rPr>
        <w:t xml:space="preserve">Enron Corporation </w:t>
      </w:r>
    </w:p>
    <w:p>
      <w:pPr>
        <w:pStyle w:val="Heading6"/>
        <w:ind w:firstLine="720" w:start="0" w:end="0"/>
        <w:rPr/>
      </w:pPr>
      <w:r>
        <w:rPr>
          <w:b w:val="false"/>
          <w:i/>
          <w:sz w:val="20"/>
        </w:rPr>
        <w:t>Analyst – Enron North America, Producer Services</w:t>
      </w:r>
      <w:r>
        <w:rPr>
          <w:sz w:val="20"/>
        </w:rPr>
        <w:t xml:space="preserve">, </w:t>
      </w:r>
      <w:r>
        <w:rPr>
          <w:b w:val="false"/>
          <w:sz w:val="20"/>
        </w:rPr>
        <w:t>Houston, TX, December 2000 – December 2001</w:t>
      </w:r>
    </w:p>
    <w:p>
      <w:pPr>
        <w:pStyle w:val="Normal"/>
        <w:numPr>
          <w:ilvl w:val="0"/>
          <w:numId w:val="4"/>
        </w:numPr>
        <w:rPr/>
      </w:pPr>
      <w:r>
        <w:rPr/>
        <w:t>Trading natural gas on the Wellhead Desk, April 2001 – December 2001</w:t>
      </w:r>
    </w:p>
    <w:p>
      <w:pPr>
        <w:pStyle w:val="Normal"/>
        <w:numPr>
          <w:ilvl w:val="1"/>
          <w:numId w:val="4"/>
        </w:numPr>
        <w:rPr/>
      </w:pPr>
      <w:r>
        <w:rPr/>
        <w:t xml:space="preserve">Critical member of team that created the Wellhead Trading desk </w:t>
      </w:r>
    </w:p>
    <w:p>
      <w:pPr>
        <w:pStyle w:val="Normal"/>
        <w:numPr>
          <w:ilvl w:val="1"/>
          <w:numId w:val="4"/>
        </w:numPr>
        <w:rPr/>
      </w:pPr>
      <w:r>
        <w:rPr/>
        <w:t>Desk was created to manage and bucket risk associated with gas production fluctuations</w:t>
      </w:r>
    </w:p>
    <w:p>
      <w:pPr>
        <w:pStyle w:val="Normal"/>
        <w:numPr>
          <w:ilvl w:val="1"/>
          <w:numId w:val="4"/>
        </w:numPr>
        <w:rPr/>
      </w:pPr>
      <w:r>
        <w:rPr/>
        <w:t>Developed and maintained extensive relationships with marketing counterparties</w:t>
      </w:r>
    </w:p>
    <w:p>
      <w:pPr>
        <w:pStyle w:val="Normal"/>
        <w:numPr>
          <w:ilvl w:val="1"/>
          <w:numId w:val="4"/>
        </w:numPr>
        <w:rPr/>
      </w:pPr>
      <w:r>
        <w:rPr/>
        <w:t>Traded, hedged and priced daily and term physical gas position</w:t>
      </w:r>
    </w:p>
    <w:p>
      <w:pPr>
        <w:pStyle w:val="Normal"/>
        <w:numPr>
          <w:ilvl w:val="1"/>
          <w:numId w:val="4"/>
        </w:numPr>
        <w:rPr/>
      </w:pPr>
      <w:r>
        <w:rPr/>
        <w:t>Hedged daily portfolio and monthly index position</w:t>
      </w:r>
    </w:p>
    <w:p>
      <w:pPr>
        <w:pStyle w:val="Normal"/>
        <w:numPr>
          <w:ilvl w:val="1"/>
          <w:numId w:val="4"/>
        </w:numPr>
        <w:rPr/>
      </w:pPr>
      <w:r>
        <w:rPr/>
        <w:t>Developed monthly trading strategy with the help of gas daily swaps, promt Nymex and physical gas position</w:t>
      </w:r>
    </w:p>
    <w:p>
      <w:pPr>
        <w:pStyle w:val="Normal"/>
        <w:numPr>
          <w:ilvl w:val="1"/>
          <w:numId w:val="4"/>
        </w:numPr>
        <w:rPr/>
      </w:pPr>
      <w:r>
        <w:rPr/>
        <w:t>Involved in the development of producer specific contracts to better manage risk</w:t>
      </w:r>
    </w:p>
    <w:p>
      <w:pPr>
        <w:pStyle w:val="Normal"/>
        <w:numPr>
          <w:ilvl w:val="1"/>
          <w:numId w:val="4"/>
        </w:numPr>
        <w:rPr/>
      </w:pPr>
      <w:r>
        <w:rPr/>
        <w:t xml:space="preserve">Analyzed, modeled and valued exposure to hurricanes using historical data and crystal ball </w:t>
      </w:r>
    </w:p>
    <w:p>
      <w:pPr>
        <w:pStyle w:val="Normal"/>
        <w:numPr>
          <w:ilvl w:val="1"/>
          <w:numId w:val="4"/>
        </w:numPr>
        <w:rPr/>
      </w:pPr>
      <w:r>
        <w:rPr/>
        <w:t>Analyzed and modeled intra-month production fluctuation risk and potential P&amp;L impact</w:t>
      </w:r>
    </w:p>
    <w:p>
      <w:pPr>
        <w:pStyle w:val="Normal"/>
        <w:numPr>
          <w:ilvl w:val="1"/>
          <w:numId w:val="4"/>
        </w:numPr>
        <w:rPr/>
      </w:pPr>
      <w:r>
        <w:rPr/>
        <w:t>Physical gas volume of 1bcf/day,  YTD P&amp;L of $450,000</w:t>
      </w:r>
    </w:p>
    <w:p>
      <w:pPr>
        <w:pStyle w:val="Normal"/>
        <w:numPr>
          <w:ilvl w:val="0"/>
          <w:numId w:val="4"/>
        </w:numPr>
        <w:rPr/>
      </w:pPr>
      <w:r>
        <w:rPr/>
        <w:t>Assisted in the creation of the Enron Producer One concept, December 2000 – May 2001</w:t>
      </w:r>
    </w:p>
    <w:p>
      <w:pPr>
        <w:pStyle w:val="Normal"/>
        <w:numPr>
          <w:ilvl w:val="1"/>
          <w:numId w:val="4"/>
        </w:numPr>
        <w:rPr/>
      </w:pPr>
      <w:r>
        <w:rPr/>
        <w:t>Business was created to outsource non-core functions of the producer community</w:t>
      </w:r>
    </w:p>
    <w:p>
      <w:pPr>
        <w:pStyle w:val="Normal"/>
        <w:numPr>
          <w:ilvl w:val="1"/>
          <w:numId w:val="4"/>
        </w:numPr>
        <w:rPr/>
      </w:pPr>
      <w:r>
        <w:rPr/>
        <w:t xml:space="preserve">Focused on integration of volume measurement, royalty payment, reporting, risk, accounting and trading </w:t>
      </w:r>
    </w:p>
    <w:p>
      <w:pPr>
        <w:pStyle w:val="Normal"/>
        <w:numPr>
          <w:ilvl w:val="1"/>
          <w:numId w:val="4"/>
        </w:numPr>
        <w:rPr/>
      </w:pPr>
      <w:r>
        <w:rPr/>
        <w:t>Developed strategic relationships with Applied Terravision Systems and Hanover Measurement</w:t>
      </w:r>
    </w:p>
    <w:p>
      <w:pPr>
        <w:pStyle w:val="Normal"/>
        <w:ind w:firstLine="360" w:start="1440" w:end="0"/>
        <w:rPr/>
      </w:pPr>
      <w:r>
        <w:rPr/>
        <w:t>Services to create and launch the Enron Producer One concept</w:t>
      </w:r>
    </w:p>
    <w:p>
      <w:pPr>
        <w:pStyle w:val="Normal"/>
        <w:numPr>
          <w:ilvl w:val="1"/>
          <w:numId w:val="4"/>
        </w:numPr>
        <w:rPr/>
      </w:pPr>
      <w:r>
        <w:rPr/>
        <w:t>Pitched concept and developed tailor made solutions for customers</w:t>
      </w:r>
    </w:p>
    <w:p>
      <w:pPr>
        <w:pStyle w:val="Normal"/>
        <w:ind w:start="720" w:end="0"/>
        <w:rPr/>
      </w:pPr>
      <w:r>
        <w:rPr/>
      </w:r>
    </w:p>
    <w:p>
      <w:pPr>
        <w:pStyle w:val="Heading6"/>
        <w:ind w:firstLine="720" w:start="0" w:end="0"/>
        <w:rPr>
          <w:b w:val="false"/>
        </w:rPr>
      </w:pPr>
      <w:r>
        <w:rPr>
          <w:b w:val="false"/>
          <w:i/>
          <w:sz w:val="20"/>
        </w:rPr>
        <w:t>Analyst – Enron North America, Commercial Transactions Group</w:t>
      </w:r>
      <w:r>
        <w:rPr>
          <w:sz w:val="20"/>
        </w:rPr>
        <w:t xml:space="preserve">, </w:t>
      </w:r>
      <w:r>
        <w:rPr>
          <w:b w:val="false"/>
          <w:sz w:val="20"/>
        </w:rPr>
        <w:t>Houston, TX, July 2000 – December 2000</w:t>
      </w:r>
    </w:p>
    <w:p>
      <w:pPr>
        <w:pStyle w:val="Normal"/>
        <w:numPr>
          <w:ilvl w:val="0"/>
          <w:numId w:val="6"/>
        </w:numPr>
        <w:rPr>
          <w:b/>
        </w:rPr>
      </w:pPr>
      <w:r>
        <w:rPr/>
        <w:t xml:space="preserve">Executed natural gas related merchant finance deals </w:t>
      </w:r>
    </w:p>
    <w:p>
      <w:pPr>
        <w:pStyle w:val="Normal"/>
        <w:numPr>
          <w:ilvl w:val="0"/>
          <w:numId w:val="6"/>
        </w:numPr>
        <w:rPr>
          <w:b/>
        </w:rPr>
      </w:pPr>
      <w:r>
        <w:rPr/>
        <w:t xml:space="preserve">Responsibilities included: </w:t>
      </w:r>
    </w:p>
    <w:p>
      <w:pPr>
        <w:pStyle w:val="Normal"/>
        <w:numPr>
          <w:ilvl w:val="1"/>
          <w:numId w:val="2"/>
        </w:numPr>
        <w:rPr>
          <w:b/>
        </w:rPr>
      </w:pPr>
      <w:r>
        <w:rPr/>
        <w:t xml:space="preserve">Creating valuation models, auditing valuation models, analyzing legal and tax issues, managing the legal and business due diligence by coordinating the efforts of the accountants, lawyers, engineers, and underwriters. Incorporated due diligence and risk control findings into complex financial models </w:t>
      </w:r>
    </w:p>
    <w:p>
      <w:pPr>
        <w:pStyle w:val="Normal"/>
        <w:rPr>
          <w:b/>
        </w:rPr>
      </w:pPr>
      <w:r>
        <w:rPr>
          <w:b/>
        </w:rPr>
      </w:r>
    </w:p>
    <w:p>
      <w:pPr>
        <w:pStyle w:val="Heading6"/>
        <w:ind w:firstLine="720" w:start="0" w:end="0"/>
        <w:rPr>
          <w:b w:val="false"/>
        </w:rPr>
      </w:pPr>
      <w:r>
        <w:rPr>
          <w:b w:val="false"/>
          <w:i/>
          <w:sz w:val="20"/>
        </w:rPr>
        <w:t>Analyst – Enron Energy Services, Rates and Tariffs</w:t>
      </w:r>
      <w:r>
        <w:rPr>
          <w:sz w:val="20"/>
        </w:rPr>
        <w:t xml:space="preserve">, </w:t>
      </w:r>
      <w:r>
        <w:rPr>
          <w:b w:val="false"/>
          <w:sz w:val="20"/>
        </w:rPr>
        <w:t>Houston, TX, July 1999 – June 2000</w:t>
      </w:r>
    </w:p>
    <w:p>
      <w:pPr>
        <w:pStyle w:val="Normal"/>
        <w:numPr>
          <w:ilvl w:val="1"/>
          <w:numId w:val="2"/>
        </w:numPr>
        <w:rPr/>
      </w:pPr>
      <w:r>
        <w:rPr/>
        <w:t>Created all gas tariff curves and forecasts used in pricing bundled and commodity only transactions</w:t>
      </w:r>
    </w:p>
    <w:p>
      <w:pPr>
        <w:pStyle w:val="Normal"/>
        <w:numPr>
          <w:ilvl w:val="1"/>
          <w:numId w:val="2"/>
        </w:numPr>
        <w:rPr/>
      </w:pPr>
      <w:r>
        <w:rPr/>
        <w:t xml:space="preserve">Worked with group director on projects that included the creation of a generic power swing option premium table to facilitate the pricing of mid-market deals </w:t>
      </w:r>
    </w:p>
    <w:p>
      <w:pPr>
        <w:pStyle w:val="Normal"/>
        <w:numPr>
          <w:ilvl w:val="1"/>
          <w:numId w:val="2"/>
        </w:numPr>
        <w:rPr/>
      </w:pPr>
      <w:r>
        <w:rPr/>
        <w:t>Designed and constructed gas tariff book that evaluated risk on a regional, utility and rate schedule basis</w:t>
      </w:r>
    </w:p>
    <w:p>
      <w:pPr>
        <w:pStyle w:val="Normal"/>
        <w:numPr>
          <w:ilvl w:val="1"/>
          <w:numId w:val="2"/>
        </w:numPr>
        <w:rPr/>
      </w:pPr>
      <w:r>
        <w:rPr/>
        <w:t>Led the internal system integration process to automate the gas tariff pricing mechanism</w:t>
      </w:r>
    </w:p>
    <w:p>
      <w:pPr>
        <w:pStyle w:val="Normal"/>
        <w:numPr>
          <w:ilvl w:val="1"/>
          <w:numId w:val="2"/>
        </w:numPr>
        <w:rPr/>
      </w:pPr>
      <w:r>
        <w:rPr/>
        <w:t xml:space="preserve">Created and built proprietary Enron model that generates fourteen year gas tariff curves </w:t>
      </w:r>
    </w:p>
    <w:p>
      <w:pPr>
        <w:pStyle w:val="Normal"/>
        <w:numPr>
          <w:ilvl w:val="1"/>
          <w:numId w:val="2"/>
        </w:numPr>
        <w:rPr/>
      </w:pPr>
      <w:r>
        <w:rPr/>
        <w:t>Created both the small and large retail gas indices used to price gas burner-tip deals</w:t>
      </w:r>
    </w:p>
    <w:p>
      <w:pPr>
        <w:pStyle w:val="Normal"/>
        <w:numPr>
          <w:ilvl w:val="1"/>
          <w:numId w:val="2"/>
        </w:numPr>
        <w:rPr/>
      </w:pPr>
      <w:r>
        <w:rPr/>
        <w:t xml:space="preserve">Assisted in the marking to market process of gas tariffs </w:t>
      </w:r>
    </w:p>
    <w:p>
      <w:pPr>
        <w:pStyle w:val="Normal"/>
        <w:numPr>
          <w:ilvl w:val="1"/>
          <w:numId w:val="2"/>
        </w:numPr>
        <w:rPr/>
      </w:pPr>
      <w:r>
        <w:rPr/>
        <w:t>Priced power deals using internal models</w:t>
      </w:r>
    </w:p>
    <w:p>
      <w:pPr>
        <w:pStyle w:val="Normal"/>
        <w:rPr>
          <w:sz w:val="12"/>
        </w:rPr>
      </w:pPr>
      <w:r>
        <w:rPr>
          <w:sz w:val="12"/>
        </w:rPr>
      </w:r>
    </w:p>
    <w:p>
      <w:pPr>
        <w:pStyle w:val="Heading6"/>
        <w:ind w:firstLine="720" w:start="0" w:end="0"/>
        <w:rPr>
          <w:b w:val="false"/>
          <w:sz w:val="20"/>
        </w:rPr>
      </w:pPr>
      <w:r>
        <w:rPr/>
        <w:t>Sol C. Snider Entrepreneurial Research Center</w:t>
      </w:r>
      <w:r>
        <w:rPr>
          <w:sz w:val="20"/>
        </w:rPr>
        <w:t xml:space="preserve"> </w:t>
      </w:r>
    </w:p>
    <w:p>
      <w:pPr>
        <w:pStyle w:val="Normal"/>
        <w:ind w:start="720" w:end="0"/>
        <w:rPr/>
      </w:pPr>
      <w:r>
        <w:rPr>
          <w:i/>
        </w:rPr>
        <w:t>Research Assistant – Worked with Wharton Management Professor Ian MacMillan</w:t>
      </w:r>
      <w:r>
        <w:rPr/>
        <w:t>, Philadelphia, PA, Sept 1998 – May 1999</w:t>
      </w:r>
    </w:p>
    <w:p>
      <w:pPr>
        <w:pStyle w:val="Normal"/>
        <w:numPr>
          <w:ilvl w:val="0"/>
          <w:numId w:val="5"/>
        </w:numPr>
        <w:rPr/>
      </w:pPr>
      <w:r>
        <w:rPr/>
        <w:t>Compiled database of stock values in relation to patent application</w:t>
      </w:r>
    </w:p>
    <w:p>
      <w:pPr>
        <w:pStyle w:val="Normal"/>
        <w:numPr>
          <w:ilvl w:val="0"/>
          <w:numId w:val="5"/>
        </w:numPr>
        <w:rPr/>
      </w:pPr>
      <w:r>
        <w:rPr/>
        <w:t>Analyzed the data to ascertain if the markets preemptively realize the success of the patent</w:t>
      </w:r>
    </w:p>
    <w:p>
      <w:pPr>
        <w:pStyle w:val="Normal"/>
        <w:pBdr>
          <w:bottom w:val="single" w:sz="4" w:space="1" w:color="000000"/>
        </w:pBdr>
        <w:jc w:val="center"/>
        <w:rPr>
          <w:sz w:val="12"/>
        </w:rPr>
      </w:pPr>
      <w:r>
        <w:rPr>
          <w:sz w:val="12"/>
        </w:rPr>
      </w:r>
    </w:p>
    <w:p>
      <w:pPr>
        <w:pStyle w:val="Heading1"/>
        <w:ind w:hanging="0" w:start="0"/>
        <w:rPr>
          <w:sz w:val="26"/>
        </w:rPr>
      </w:pPr>
      <w:r>
        <w:rPr>
          <w:sz w:val="26"/>
        </w:rPr>
        <w:t>EDUCATION</w:t>
      </w:r>
    </w:p>
    <w:p>
      <w:pPr>
        <w:pStyle w:val="Normal"/>
        <w:jc w:val="both"/>
        <w:rPr>
          <w:b/>
          <w:sz w:val="12"/>
        </w:rPr>
      </w:pPr>
      <w:r>
        <w:rPr>
          <w:b/>
          <w:sz w:val="24"/>
        </w:rPr>
        <w:tab/>
      </w:r>
    </w:p>
    <w:p>
      <w:pPr>
        <w:pStyle w:val="Normal"/>
        <w:ind w:firstLine="720" w:end="0"/>
        <w:jc w:val="both"/>
        <w:rPr>
          <w:b/>
        </w:rPr>
      </w:pPr>
      <w:r>
        <w:rPr>
          <w:b/>
          <w:sz w:val="24"/>
        </w:rPr>
        <w:t xml:space="preserve">UNIVERSITY OF PENNSYLVANIA, </w:t>
      </w:r>
      <w:r>
        <w:rPr/>
        <w:t>Philadelphia, PA</w:t>
      </w:r>
    </w:p>
    <w:p>
      <w:pPr>
        <w:pStyle w:val="Normal"/>
        <w:jc w:val="both"/>
        <w:rPr/>
      </w:pPr>
      <w:r>
        <w:rPr/>
        <w:tab/>
        <w:t>School of Engineering and Applied Science</w:t>
      </w:r>
    </w:p>
    <w:p>
      <w:pPr>
        <w:pStyle w:val="Normal"/>
        <w:ind w:firstLine="720" w:end="0"/>
        <w:rPr/>
      </w:pPr>
      <w:r>
        <w:rPr>
          <w:i/>
        </w:rPr>
        <w:t>Bachelor of Science in Chemical Engineering</w:t>
      </w:r>
      <w:r>
        <w:rPr/>
        <w:t>, May 1999</w:t>
      </w:r>
    </w:p>
    <w:p>
      <w:pPr>
        <w:pStyle w:val="Normal"/>
        <w:jc w:val="both"/>
        <w:rPr>
          <w:sz w:val="8"/>
        </w:rPr>
      </w:pPr>
      <w:r>
        <w:rPr>
          <w:sz w:val="8"/>
        </w:rPr>
      </w:r>
    </w:p>
    <w:p>
      <w:pPr>
        <w:pStyle w:val="Normal"/>
        <w:jc w:val="both"/>
        <w:rPr>
          <w:sz w:val="8"/>
        </w:rPr>
      </w:pPr>
      <w:r>
        <w:rPr>
          <w:sz w:val="8"/>
        </w:rPr>
      </w:r>
    </w:p>
    <w:p>
      <w:pPr>
        <w:pStyle w:val="Normal"/>
        <w:ind w:start="720" w:end="0"/>
        <w:rPr>
          <w:u w:val="single"/>
        </w:rPr>
      </w:pPr>
      <w:r>
        <w:rPr>
          <w:u w:val="single"/>
        </w:rPr>
        <w:t>Relevant Business Coursework:</w:t>
      </w:r>
      <w:r>
        <w:rPr/>
        <w:t xml:space="preserve"> Micro Economics, Macro Economics, Multinational Corporate Finance, International Finance, Finance (Monetary Economics), Corporate Finance</w:t>
      </w:r>
    </w:p>
    <w:p>
      <w:pPr>
        <w:pStyle w:val="Normal"/>
        <w:pBdr>
          <w:bottom w:val="single" w:sz="4" w:space="1" w:color="000000"/>
        </w:pBdr>
        <w:jc w:val="center"/>
        <w:rPr>
          <w:sz w:val="12"/>
          <w:u w:val="single"/>
        </w:rPr>
      </w:pPr>
      <w:r>
        <w:rPr>
          <w:sz w:val="12"/>
          <w:u w:val="single"/>
        </w:rPr>
      </w:r>
    </w:p>
    <w:p>
      <w:pPr>
        <w:pStyle w:val="BodyTextIndent"/>
        <w:ind w:start="0" w:end="0"/>
        <w:rPr>
          <w:b/>
          <w:sz w:val="26"/>
        </w:rPr>
      </w:pPr>
      <w:r>
        <w:rPr>
          <w:b/>
          <w:sz w:val="26"/>
        </w:rPr>
        <w:t>SKILLS</w:t>
      </w:r>
    </w:p>
    <w:p>
      <w:pPr>
        <w:pStyle w:val="BodyTextIndent"/>
        <w:numPr>
          <w:ilvl w:val="0"/>
          <w:numId w:val="3"/>
        </w:numPr>
        <w:tabs>
          <w:tab w:val="clear" w:pos="720"/>
          <w:tab w:val="left" w:pos="1080" w:leader="none"/>
        </w:tabs>
        <w:ind w:hanging="360" w:start="1080" w:end="0"/>
        <w:jc w:val="both"/>
        <w:rPr/>
      </w:pPr>
      <w:r>
        <w:rPr/>
        <w:t>Extensive use of Microsoft Office, complex modeling in Excel, Crystal Ball, Kobra, CQG, programming in C++</w:t>
      </w:r>
    </w:p>
    <w:p>
      <w:pPr>
        <w:pStyle w:val="BodyTextIndent"/>
        <w:jc w:val="both"/>
        <w:rPr/>
      </w:pPr>
      <w:r>
        <w:rPr/>
      </w:r>
    </w:p>
    <w:sectPr>
      <w:type w:val="nextPage"/>
      <w:pgSz w:w="12240" w:h="15840"/>
      <w:pgMar w:left="720" w:right="72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1440"/>
        </w:tabs>
        <w:ind w:start="1440" w:hanging="360"/>
      </w:pPr>
      <w:rPr>
        <w:rFonts w:ascii="Wingdings" w:hAnsi="Wingdings" w:cs="Wingdings" w:hint="default"/>
      </w:rPr>
    </w:lvl>
    <w:lvl w:ilvl="3">
      <w:start w:val="1"/>
      <w:numFmt w:val="bullet"/>
      <w:lvlText w:val=""/>
      <w:lvlJc w:val="start"/>
      <w:pPr>
        <w:tabs>
          <w:tab w:val="num" w:pos="2160"/>
        </w:tabs>
        <w:ind w:start="2160" w:hanging="360"/>
      </w:pPr>
      <w:rPr>
        <w:rFonts w:ascii="Symbol" w:hAnsi="Symbol" w:cs="Symbol" w:hint="default"/>
      </w:rPr>
    </w:lvl>
    <w:lvl w:ilvl="4">
      <w:start w:val="1"/>
      <w:numFmt w:val="bullet"/>
      <w:lvlText w:val="o"/>
      <w:lvlJc w:val="start"/>
      <w:pPr>
        <w:tabs>
          <w:tab w:val="num" w:pos="2880"/>
        </w:tabs>
        <w:ind w:start="2880" w:hanging="360"/>
      </w:pPr>
      <w:rPr>
        <w:rFonts w:ascii="Courier New" w:hAnsi="Courier New" w:cs="Courier New" w:hint="default"/>
      </w:rPr>
    </w:lvl>
    <w:lvl w:ilvl="5">
      <w:start w:val="1"/>
      <w:numFmt w:val="bullet"/>
      <w:lvlText w:val=""/>
      <w:lvlJc w:val="start"/>
      <w:pPr>
        <w:tabs>
          <w:tab w:val="num" w:pos="3600"/>
        </w:tabs>
        <w:ind w:start="3600" w:hanging="360"/>
      </w:pPr>
      <w:rPr>
        <w:rFonts w:ascii="Wingdings" w:hAnsi="Wingdings" w:cs="Wingdings" w:hint="default"/>
      </w:rPr>
    </w:lvl>
    <w:lvl w:ilvl="6">
      <w:start w:val="1"/>
      <w:numFmt w:val="bullet"/>
      <w:lvlText w:val=""/>
      <w:lvlJc w:val="start"/>
      <w:pPr>
        <w:tabs>
          <w:tab w:val="num" w:pos="4320"/>
        </w:tabs>
        <w:ind w:start="4320" w:hanging="360"/>
      </w:pPr>
      <w:rPr>
        <w:rFonts w:ascii="Symbol" w:hAnsi="Symbol" w:cs="Symbol" w:hint="default"/>
      </w:rPr>
    </w:lvl>
    <w:lvl w:ilvl="7">
      <w:start w:val="1"/>
      <w:numFmt w:val="bullet"/>
      <w:lvlText w:val="o"/>
      <w:lvlJc w:val="start"/>
      <w:pPr>
        <w:tabs>
          <w:tab w:val="num" w:pos="5040"/>
        </w:tabs>
        <w:ind w:start="5040" w:hanging="360"/>
      </w:pPr>
      <w:rPr>
        <w:rFonts w:ascii="Courier New" w:hAnsi="Courier New" w:cs="Courier New" w:hint="default"/>
      </w:rPr>
    </w:lvl>
    <w:lvl w:ilvl="8">
      <w:start w:val="1"/>
      <w:numFmt w:val="bullet"/>
      <w:lvlText w:val=""/>
      <w:lvlJc w:val="start"/>
      <w:pPr>
        <w:tabs>
          <w:tab w:val="num" w:pos="5760"/>
        </w:tabs>
        <w:ind w:start="57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5">
    <w:lvl w:ilvl="0">
      <w:start w:val="1"/>
      <w:numFmt w:val="bullet"/>
      <w:lvlText w:val="o"/>
      <w:lvlJc w:val="start"/>
      <w:pPr>
        <w:tabs>
          <w:tab w:val="num" w:pos="1800"/>
        </w:tabs>
        <w:ind w:start="1800" w:hanging="360"/>
      </w:pPr>
      <w:rPr>
        <w:rFonts w:ascii="Courier New" w:hAnsi="Courier New" w:cs="Courier New"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4"/>
    </w:rPr>
  </w:style>
  <w:style w:type="paragraph" w:styleId="Heading2">
    <w:name w:val="heading 2"/>
    <w:basedOn w:val="Normal"/>
    <w:next w:val="Normal"/>
    <w:qFormat/>
    <w:pPr>
      <w:keepNext w:val="true"/>
      <w:numPr>
        <w:ilvl w:val="1"/>
        <w:numId w:val="1"/>
      </w:numPr>
      <w:jc w:val="both"/>
      <w:outlineLvl w:val="1"/>
    </w:pPr>
    <w:rPr>
      <w:b/>
      <w:sz w:val="22"/>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ind w:hanging="0" w:start="720" w:end="0"/>
      <w:outlineLvl w:val="3"/>
    </w:pPr>
    <w:rPr>
      <w:b/>
      <w:sz w:val="24"/>
    </w:rPr>
  </w:style>
  <w:style w:type="paragraph" w:styleId="Heading5">
    <w:name w:val="heading 5"/>
    <w:basedOn w:val="Normal"/>
    <w:next w:val="Normal"/>
    <w:qFormat/>
    <w:pPr>
      <w:keepNext w:val="true"/>
      <w:numPr>
        <w:ilvl w:val="4"/>
        <w:numId w:val="1"/>
      </w:numPr>
      <w:outlineLvl w:val="4"/>
    </w:pPr>
    <w:rPr>
      <w:b/>
      <w:sz w:val="26"/>
    </w:rPr>
  </w:style>
  <w:style w:type="paragraph" w:styleId="Heading6">
    <w:name w:val="heading 6"/>
    <w:basedOn w:val="Normal"/>
    <w:next w:val="Normal"/>
    <w:qFormat/>
    <w:pPr>
      <w:keepNext w:val="true"/>
      <w:numPr>
        <w:ilvl w:val="5"/>
        <w:numId w:val="1"/>
      </w:numPr>
      <w:outlineLvl w:val="5"/>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cs="Courier New"/>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cs="Courier New"/>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rPr>
  </w:style>
  <w:style w:type="paragraph" w:styleId="BodyTextIndent">
    <w:name w:val="Body Text Indent"/>
    <w:basedOn w:val="Normal"/>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2001-12-21T19:46:00Z</dcterms:created>
  <dc:creator>Preferred Customer</dc:creator>
  <dc:description/>
  <dc:language>en-CA</dc:language>
  <cp:lastModifiedBy>Richard Lassander</cp:lastModifiedBy>
  <cp:lastPrinted>2001-11-30T14:34:00Z</cp:lastPrinted>
  <dcterms:modified xsi:type="dcterms:W3CDTF">2002-01-17T08:36:00Z</dcterms:modified>
  <cp:revision>5</cp:revision>
  <dc:subject/>
  <dc:title>DAYEM KHANDKER</dc:title>
</cp:coreProperties>
</file>