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pPr>
      <w:r>
        <w:rPr/>
        <w:t xml:space="preserve">Several months ago, Enron North America’s Offshore Services Group (“ENA”) began looking for ways to understand residual value of floating production vessels.  The initial search led us down a path of traditional insurance with a focus on residual value insurance.  We found that residual value policies had been done – but they were done for assets that were far more numerous than floating production vessels.  Insurers were very reluctant to insure any asset without a very costly period of due diligence.  It became clear that this method was unattractive because of the “one off” nature of the transactions – with each policy requiring an exhaustive period of due diligence.   </w:t>
      </w:r>
    </w:p>
    <w:p>
      <w:pPr>
        <w:pStyle w:val="Normal"/>
        <w:ind w:firstLine="720" w:end="0"/>
        <w:rPr/>
      </w:pPr>
      <w:r>
        <w:rPr/>
        <w:t xml:space="preserve">Next we began to look for ways to understand residual value by looking at similar structures (offshore drilling rigs) and the ways that they could be valued – since several drilling rigs were trading in somewhat of a spot market with a pricing mechanism called a Day Rate.  Our initial research was focused on finding historical day rates for the various types of drilling rigs in the Gulf of Mexico.  We then attempted to correlate these day rates with crude oil, natural gas, drilling rig utilization, interest rates, etc. </w:t>
      </w:r>
    </w:p>
    <w:p>
      <w:pPr>
        <w:pStyle w:val="Normal"/>
        <w:ind w:firstLine="720" w:end="0"/>
        <w:rPr/>
      </w:pPr>
      <w:r>
        <w:rPr/>
        <w:t>Our research was quite enlightening.  We developed a minimal level of comfort with certain relationships between these day rates and certain moving averages of crude oil and natural gas.  It became clear that we needed to further study these relationships by assigning this effort to our research team under Vince Kaminski.  This study was conclusive that there was a significant relationship between certain types of day rates and a long term moving average of crude oil final settlements.</w:t>
      </w:r>
    </w:p>
    <w:p>
      <w:pPr>
        <w:pStyle w:val="Normal"/>
        <w:ind w:firstLine="720" w:end="0"/>
        <w:rPr/>
      </w:pPr>
      <w:r>
        <w:rPr/>
        <w:t xml:space="preserve">We then began to discuss the potential of developing a “forward market” in these day rates with the chance of hedging these initial positions with not only similar transactions in day rates but also with crude and natural gas futures.  Knowing that the need for a legitimate posting of these day rates was mandatory, we became familiar with the various postings available and established a dialogue with these companies in an attempt to understand their methods of price discovery.  A study of the potential market size and credit worthiness of the potential customers was done and example problems were contemplated.  </w:t>
      </w:r>
    </w:p>
    <w:p>
      <w:pPr>
        <w:pStyle w:val="Normal"/>
        <w:ind w:firstLine="720" w:end="0"/>
        <w:rPr/>
      </w:pPr>
      <w:r>
        <w:rPr/>
        <w:t xml:space="preserve">We then went out in the marketplace and discussed the risks associated with day rates with a limited number of potential trading partners and found an incredible level of interest.  We found that there were two types of  “longs” in the day rate market, years 1&amp;2 longs and years 3,4,5 &amp;6 longs.  The longs in the first 2 years were the owners of Jackups </w:t>
      </w:r>
      <w:r>
        <w:rPr>
          <w:rStyle w:val="FootnoteCharacters"/>
          <w:rStyle w:val="FootnoteReference"/>
        </w:rPr>
        <w:footnoteReference w:id="2"/>
      </w:r>
      <w:r>
        <w:rPr/>
        <w:t xml:space="preserve"> while the longs in years 3 through 6  were not just drilling contractors but actually were the producers themselves.  Because of the extreme cost of building the new generation of drilling rigs required to explore and develop the new frontier of the deepwater, drilling contractors convinced E&amp;P companies to sign around 35 new long-term (4-7 year) fixed-price contracts for “to be built” semisubmersibles </w:t>
      </w:r>
      <w:r>
        <w:rPr>
          <w:rStyle w:val="FootnoteCharacters"/>
          <w:rStyle w:val="FootnoteReference"/>
        </w:rPr>
        <w:footnoteReference w:id="3"/>
      </w:r>
      <w:r>
        <w:rPr/>
        <w:t xml:space="preserve"> and drillships </w:t>
      </w:r>
      <w:r>
        <w:rPr>
          <w:rStyle w:val="FootnoteCharacters"/>
          <w:rStyle w:val="FootnoteReference"/>
        </w:rPr>
        <w:footnoteReference w:id="4"/>
      </w:r>
      <w:r>
        <w:rPr/>
        <w:t>.  This annual day rate expenses for each type of rig are shown in Exhibit A.  Not including mobilization and demobilization fees, an estimated annualized day rate expense for all offshore drilling rigs is approximately a $14 Billion/year market.</w:t>
      </w:r>
    </w:p>
    <w:p>
      <w:pPr>
        <w:pStyle w:val="Normal"/>
        <w:ind w:firstLine="720" w:end="0"/>
        <w:rPr/>
      </w:pPr>
      <w:r>
        <w:rPr/>
      </w:r>
    </w:p>
    <w:p>
      <w:pPr>
        <w:pStyle w:val="Normal"/>
        <w:ind w:firstLine="720" w:end="0"/>
        <w:jc w:val="center"/>
        <w:rPr/>
      </w:pPr>
      <w:r>
        <w:rPr/>
        <w:t>Exhibit A.</w:t>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Rig Type</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Day Rate ($/Day)</w:t>
            </w:r>
          </w:p>
          <w:p>
            <w:pPr>
              <w:pStyle w:val="Normal"/>
              <w:jc w:val="center"/>
              <w:rPr/>
            </w:pPr>
            <w:r>
              <w:rPr/>
              <w:t>(existing/new)</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No of Units (existing/new)</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pPr>
            <w:r>
              <w:rPr/>
              <w:t>Annl Day Rate Exp ($Bil/year)</w:t>
            </w:r>
          </w:p>
          <w:p>
            <w:pPr>
              <w:pStyle w:val="Normal"/>
              <w:jc w:val="center"/>
              <w:rPr/>
            </w:pPr>
            <w:r>
              <w:rPr/>
              <w:t>(existing/new)</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Jackups</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27,000/50,000</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330/20</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3.5 + 0.37 =  3.87</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Semisubmersibles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100,000/170,000</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110/32</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4.0 + 2.0   =  6.00</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Drillships</w:t>
            </w:r>
          </w:p>
        </w:tc>
        <w:tc>
          <w:tcPr>
            <w:tcW w:w="2214" w:type="dxa"/>
            <w:tcBorders>
              <w:top w:val="single" w:sz="4" w:space="0" w:color="000000"/>
              <w:start w:val="single" w:sz="4" w:space="0" w:color="000000"/>
              <w:bottom w:val="single" w:sz="4" w:space="0" w:color="000000"/>
              <w:end w:val="single" w:sz="4" w:space="0" w:color="000000"/>
            </w:tcBorders>
          </w:tcPr>
          <w:p>
            <w:pPr>
              <w:pStyle w:val="FootnoteText"/>
              <w:rPr/>
            </w:pPr>
            <w:r>
              <w:rPr/>
              <w:t>120,000/170,000</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20/12</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0.9 + 0.75 =  1.65</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Platform</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14,000/NA</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40/NA</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0.25</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Support Vessels</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4,000/NA</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1,500/NA</w:t>
            </w:r>
          </w:p>
        </w:tc>
        <w:tc>
          <w:tcPr>
            <w:tcW w:w="2214"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2.20</w:t>
            </w:r>
          </w:p>
        </w:tc>
      </w:tr>
    </w:tbl>
    <w:p>
      <w:pPr>
        <w:pStyle w:val="Normal"/>
        <w:ind w:firstLine="720" w:end="0"/>
        <w:rPr/>
      </w:pPr>
      <w:r>
        <w:rPr/>
        <w:t>Totals</w:t>
        <w:tab/>
        <w:tab/>
        <w:tab/>
        <w:tab/>
        <w:tab/>
        <w:tab/>
        <w:tab/>
        <w:tab/>
        <w:t xml:space="preserve">         $14 Billion/year</w:t>
        <w:tab/>
        <w:tab/>
        <w:tab/>
        <w:tab/>
      </w:r>
    </w:p>
    <w:p>
      <w:pPr>
        <w:pStyle w:val="Normal"/>
        <w:ind w:firstLine="720" w:end="0"/>
        <w:rPr/>
      </w:pPr>
      <w:r>
        <w:rPr/>
      </w:r>
    </w:p>
    <w:p>
      <w:pPr>
        <w:pStyle w:val="Normal"/>
        <w:ind w:firstLine="720" w:end="0"/>
        <w:jc w:val="center"/>
        <w:rPr/>
      </w:pPr>
      <w:r>
        <w:rPr/>
        <w:t>Exhibit B.</w:t>
      </w:r>
    </w:p>
    <w:tbl>
      <w:tblPr>
        <w:tblW w:w="8554" w:type="dxa"/>
        <w:jc w:val="start"/>
        <w:tblInd w:w="0" w:type="dxa"/>
        <w:tblLayout w:type="fixed"/>
        <w:tblCellMar>
          <w:top w:w="0" w:type="dxa"/>
          <w:start w:w="30" w:type="dxa"/>
          <w:bottom w:w="0" w:type="dxa"/>
          <w:end w:w="30" w:type="dxa"/>
        </w:tblCellMar>
      </w:tblPr>
      <w:tblGrid>
        <w:gridCol w:w="2160"/>
        <w:gridCol w:w="1010"/>
        <w:gridCol w:w="1121"/>
        <w:gridCol w:w="1011"/>
        <w:gridCol w:w="1010"/>
        <w:gridCol w:w="1231"/>
        <w:gridCol w:w="1011"/>
      </w:tblGrid>
      <w:tr>
        <w:trPr>
          <w:trHeight w:val="262" w:hRule="atLeast"/>
        </w:trPr>
        <w:tc>
          <w:tcPr>
            <w:tcW w:w="2160" w:type="dxa"/>
            <w:tcBorders>
              <w:top w:val="single" w:sz="6" w:space="0" w:color="000000"/>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Jackup Depth Ratings</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Mat Sup</w:t>
            </w:r>
          </w:p>
        </w:tc>
        <w:tc>
          <w:tcPr>
            <w:tcW w:w="11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Indep Leg</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Totals</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Slots</w:t>
            </w:r>
          </w:p>
        </w:tc>
        <w:tc>
          <w:tcPr>
            <w:tcW w:w="12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Cantilevers</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Totals</w:t>
            </w:r>
          </w:p>
        </w:tc>
      </w:tr>
      <w:tr>
        <w:trPr>
          <w:trHeight w:val="262" w:hRule="atLeast"/>
        </w:trPr>
        <w:tc>
          <w:tcPr>
            <w:tcW w:w="2160" w:type="dxa"/>
            <w:tcBorders>
              <w:top w:val="single" w:sz="6" w:space="0" w:color="000000"/>
              <w:start w:val="single" w:sz="6" w:space="0" w:color="000000"/>
            </w:tcBorders>
          </w:tcPr>
          <w:p>
            <w:pPr>
              <w:pStyle w:val="Normal"/>
              <w:rPr>
                <w:rFonts w:ascii="Arial" w:hAnsi="Arial" w:cs="Arial"/>
                <w:b/>
                <w:color w:val="000000"/>
                <w:lang w:eastAsia="en-US"/>
              </w:rPr>
            </w:pPr>
            <w:r>
              <w:rPr>
                <w:rFonts w:cs="Arial" w:ascii="Arial" w:hAnsi="Arial"/>
                <w:b/>
                <w:color w:val="000000"/>
                <w:lang w:eastAsia="en-US"/>
              </w:rPr>
              <w:t>Over 300'C</w:t>
            </w:r>
          </w:p>
        </w:tc>
        <w:tc>
          <w:tcPr>
            <w:tcW w:w="101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12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1010"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54</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63</w:t>
            </w:r>
          </w:p>
        </w:tc>
      </w:tr>
      <w:tr>
        <w:trPr>
          <w:trHeight w:val="262" w:hRule="atLeast"/>
        </w:trPr>
        <w:tc>
          <w:tcPr>
            <w:tcW w:w="216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Over 300' S</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9</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9</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9</w:t>
            </w:r>
          </w:p>
        </w:tc>
        <w:tc>
          <w:tcPr>
            <w:tcW w:w="123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2160" w:type="dxa"/>
            <w:tcBorders>
              <w:top w:val="single" w:sz="6" w:space="0" w:color="000000"/>
              <w:start w:val="single" w:sz="6" w:space="0" w:color="000000"/>
            </w:tcBorders>
          </w:tcPr>
          <w:p>
            <w:pPr>
              <w:pStyle w:val="Normal"/>
              <w:rPr>
                <w:rFonts w:ascii="Arial" w:hAnsi="Arial" w:cs="Arial"/>
                <w:b/>
                <w:color w:val="000000"/>
                <w:lang w:eastAsia="en-US"/>
              </w:rPr>
            </w:pPr>
            <w:r>
              <w:rPr>
                <w:rFonts w:cs="Arial" w:ascii="Arial" w:hAnsi="Arial"/>
                <w:b/>
                <w:color w:val="000000"/>
                <w:lang w:eastAsia="en-US"/>
              </w:rPr>
              <w:t>300' C</w:t>
            </w:r>
          </w:p>
        </w:tc>
        <w:tc>
          <w:tcPr>
            <w:tcW w:w="101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w:t>
            </w:r>
          </w:p>
        </w:tc>
        <w:tc>
          <w:tcPr>
            <w:tcW w:w="112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96</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1010"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97</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113</w:t>
            </w:r>
          </w:p>
        </w:tc>
      </w:tr>
      <w:tr>
        <w:trPr>
          <w:trHeight w:val="262" w:hRule="atLeast"/>
        </w:trPr>
        <w:tc>
          <w:tcPr>
            <w:tcW w:w="216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300' S</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16</w:t>
            </w:r>
          </w:p>
        </w:tc>
        <w:tc>
          <w:tcPr>
            <w:tcW w:w="123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2160" w:type="dxa"/>
            <w:tcBorders>
              <w:top w:val="single" w:sz="6" w:space="0" w:color="000000"/>
              <w:start w:val="single" w:sz="6" w:space="0" w:color="000000"/>
            </w:tcBorders>
          </w:tcPr>
          <w:p>
            <w:pPr>
              <w:pStyle w:val="Normal"/>
              <w:rPr>
                <w:rFonts w:ascii="Arial" w:hAnsi="Arial" w:cs="Arial"/>
                <w:b/>
                <w:color w:val="000000"/>
                <w:lang w:eastAsia="en-US"/>
              </w:rPr>
            </w:pPr>
            <w:r>
              <w:rPr>
                <w:rFonts w:cs="Arial" w:ascii="Arial" w:hAnsi="Arial"/>
                <w:b/>
                <w:color w:val="000000"/>
                <w:lang w:eastAsia="en-US"/>
              </w:rPr>
              <w:t>250' C</w:t>
            </w:r>
          </w:p>
        </w:tc>
        <w:tc>
          <w:tcPr>
            <w:tcW w:w="101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w:t>
            </w:r>
          </w:p>
        </w:tc>
        <w:tc>
          <w:tcPr>
            <w:tcW w:w="112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74</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1010"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77</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119</w:t>
            </w:r>
          </w:p>
        </w:tc>
      </w:tr>
      <w:tr>
        <w:trPr>
          <w:trHeight w:val="262" w:hRule="atLeast"/>
        </w:trPr>
        <w:tc>
          <w:tcPr>
            <w:tcW w:w="216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250' S</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25</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17</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123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2160" w:type="dxa"/>
            <w:tcBorders>
              <w:top w:val="single" w:sz="6" w:space="0" w:color="000000"/>
              <w:start w:val="single" w:sz="6" w:space="0" w:color="000000"/>
            </w:tcBorders>
          </w:tcPr>
          <w:p>
            <w:pPr>
              <w:pStyle w:val="Normal"/>
              <w:rPr>
                <w:rFonts w:ascii="Arial" w:hAnsi="Arial" w:cs="Arial"/>
                <w:b/>
                <w:color w:val="000000"/>
                <w:lang w:eastAsia="en-US"/>
              </w:rPr>
            </w:pPr>
            <w:r>
              <w:rPr>
                <w:rFonts w:cs="Arial" w:ascii="Arial" w:hAnsi="Arial"/>
                <w:b/>
                <w:color w:val="000000"/>
                <w:lang w:eastAsia="en-US"/>
              </w:rPr>
              <w:t>to 200' C</w:t>
            </w:r>
          </w:p>
        </w:tc>
        <w:tc>
          <w:tcPr>
            <w:tcW w:w="1010"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42</w:t>
            </w:r>
          </w:p>
        </w:tc>
        <w:tc>
          <w:tcPr>
            <w:tcW w:w="112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43</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1010" w:type="dxa"/>
            <w:tcBorders>
              <w:top w:val="single" w:sz="6" w:space="0" w:color="000000"/>
              <w:start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31" w:type="dxa"/>
            <w:tcBorders>
              <w:top w:val="single" w:sz="6" w:space="0" w:color="000000"/>
              <w:start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85</w:t>
            </w:r>
          </w:p>
        </w:tc>
        <w:tc>
          <w:tcPr>
            <w:tcW w:w="1011" w:type="dxa"/>
            <w:tcBorders>
              <w:top w:val="single" w:sz="6" w:space="0" w:color="000000"/>
              <w:start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98</w:t>
            </w:r>
          </w:p>
        </w:tc>
      </w:tr>
      <w:tr>
        <w:trPr>
          <w:trHeight w:val="262" w:hRule="atLeast"/>
        </w:trPr>
        <w:tc>
          <w:tcPr>
            <w:tcW w:w="216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to 200' S</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10</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13</w:t>
            </w:r>
          </w:p>
        </w:tc>
        <w:tc>
          <w:tcPr>
            <w:tcW w:w="123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011"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2160" w:type="dxa"/>
            <w:tcBorders>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Totals</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74</w:t>
            </w:r>
          </w:p>
        </w:tc>
        <w:tc>
          <w:tcPr>
            <w:tcW w:w="112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319</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393</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80</w:t>
            </w:r>
          </w:p>
        </w:tc>
        <w:tc>
          <w:tcPr>
            <w:tcW w:w="123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313</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393</w:t>
            </w:r>
          </w:p>
        </w:tc>
      </w:tr>
    </w:tbl>
    <w:p>
      <w:pPr>
        <w:pStyle w:val="Normal"/>
        <w:rPr/>
      </w:pPr>
      <w:r>
        <w:rPr/>
      </w:r>
    </w:p>
    <w:p>
      <w:pPr>
        <w:pStyle w:val="Normal"/>
        <w:jc w:val="center"/>
        <w:rPr/>
      </w:pPr>
      <w:r>
        <w:rPr/>
        <w:t>Exhibit C.</w:t>
      </w:r>
    </w:p>
    <w:tbl>
      <w:tblPr>
        <w:tblW w:w="10170" w:type="dxa"/>
        <w:jc w:val="start"/>
        <w:tblInd w:w="-510" w:type="dxa"/>
        <w:tblLayout w:type="fixed"/>
        <w:tblCellMar>
          <w:top w:w="0" w:type="dxa"/>
          <w:start w:w="30" w:type="dxa"/>
          <w:bottom w:w="0" w:type="dxa"/>
          <w:end w:w="30" w:type="dxa"/>
        </w:tblCellMar>
      </w:tblPr>
      <w:tblGrid>
        <w:gridCol w:w="1170"/>
        <w:gridCol w:w="990"/>
        <w:gridCol w:w="810"/>
        <w:gridCol w:w="810"/>
        <w:gridCol w:w="810"/>
        <w:gridCol w:w="1080"/>
        <w:gridCol w:w="810"/>
        <w:gridCol w:w="900"/>
        <w:gridCol w:w="810"/>
        <w:gridCol w:w="720"/>
        <w:gridCol w:w="720"/>
        <w:gridCol w:w="540"/>
      </w:tblGrid>
      <w:tr>
        <w:trPr>
          <w:trHeight w:val="785" w:hRule="atLeast"/>
        </w:trPr>
        <w:tc>
          <w:tcPr>
            <w:tcW w:w="1170" w:type="dxa"/>
            <w:tcBorders>
              <w:top w:val="single" w:sz="2" w:space="0" w:color="000000"/>
              <w:start w:val="single" w:sz="2" w:space="0" w:color="000000"/>
              <w:bottom w:val="single" w:sz="6"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Semisub Generation</w:t>
            </w:r>
          </w:p>
        </w:tc>
        <w:tc>
          <w:tcPr>
            <w:tcW w:w="990" w:type="dxa"/>
            <w:tcBorders>
              <w:top w:val="single" w:sz="2" w:space="0" w:color="000000"/>
              <w:start w:val="single" w:sz="2"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Initial/Conversion</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Totals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Area Totals</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Drilling</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Workover or Compltn</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Standby</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Ready Stacked</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Ready to work totals</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Utiliza- tion</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Const. or Modif.</w:t>
            </w:r>
          </w:p>
        </w:tc>
        <w:tc>
          <w:tcPr>
            <w:tcW w:w="54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Cold Stacked</w:t>
            </w:r>
          </w:p>
        </w:tc>
      </w:tr>
      <w:tr>
        <w:trPr>
          <w:trHeight w:val="262" w:hRule="atLeast"/>
        </w:trPr>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0.0%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62" w:hRule="atLeast"/>
        </w:trPr>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69</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69</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34</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13</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53</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75.5%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w:t>
            </w:r>
          </w:p>
        </w:tc>
        <w:tc>
          <w:tcPr>
            <w:tcW w:w="5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w:t>
            </w:r>
          </w:p>
        </w:tc>
      </w:tr>
      <w:tr>
        <w:trPr>
          <w:trHeight w:val="262" w:hRule="atLeast"/>
        </w:trPr>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2/3</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10</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46</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21</w:t>
            </w:r>
          </w:p>
        </w:tc>
        <w:tc>
          <w:tcPr>
            <w:tcW w:w="108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8</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0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41</w:t>
            </w:r>
          </w:p>
        </w:tc>
        <w:tc>
          <w:tcPr>
            <w:tcW w:w="72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70.7%</w:t>
            </w:r>
          </w:p>
        </w:tc>
        <w:tc>
          <w:tcPr>
            <w:tcW w:w="72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w:t>
            </w:r>
          </w:p>
        </w:tc>
        <w:tc>
          <w:tcPr>
            <w:tcW w:w="54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w:t>
            </w:r>
          </w:p>
        </w:tc>
      </w:tr>
      <w:tr>
        <w:trPr>
          <w:trHeight w:val="262" w:hRule="atLeast"/>
        </w:trPr>
        <w:tc>
          <w:tcPr>
            <w:tcW w:w="1170"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36</w:t>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4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70" w:type="dxa"/>
            <w:tcBorders>
              <w:top w:val="single" w:sz="6" w:space="0" w:color="000000"/>
              <w:start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4</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39</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21</w:t>
            </w:r>
          </w:p>
        </w:tc>
        <w:tc>
          <w:tcPr>
            <w:tcW w:w="108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0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w:t>
            </w:r>
          </w:p>
        </w:tc>
        <w:tc>
          <w:tcPr>
            <w:tcW w:w="81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32</w:t>
            </w:r>
          </w:p>
        </w:tc>
        <w:tc>
          <w:tcPr>
            <w:tcW w:w="72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87.5%</w:t>
            </w:r>
          </w:p>
        </w:tc>
        <w:tc>
          <w:tcPr>
            <w:tcW w:w="72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w:t>
            </w:r>
          </w:p>
        </w:tc>
        <w:tc>
          <w:tcPr>
            <w:tcW w:w="540" w:type="dxa"/>
            <w:tcBorders>
              <w:top w:val="single" w:sz="6" w:space="0" w:color="000000"/>
              <w:start w:val="single" w:sz="6"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62" w:hRule="atLeast"/>
        </w:trPr>
        <w:tc>
          <w:tcPr>
            <w:tcW w:w="1170" w:type="dxa"/>
            <w:tcBorders>
              <w:start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w:t>
            </w:r>
          </w:p>
        </w:tc>
        <w:tc>
          <w:tcPr>
            <w:tcW w:w="81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81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1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1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40" w:type="dxa"/>
            <w:tcBorders>
              <w:top w:val="single" w:sz="2" w:space="0" w:color="000000"/>
              <w:start w:val="single" w:sz="6"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70" w:type="dxa"/>
            <w:tcBorders>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4</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21</w:t>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108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90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81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72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b/>
                <w:color w:val="000000"/>
                <w:lang w:eastAsia="en-US"/>
              </w:rPr>
            </w:pPr>
            <w:r>
              <w:rPr>
                <w:rFonts w:cs="Arial" w:ascii="Arial" w:hAnsi="Arial"/>
                <w:b/>
                <w:color w:val="000000"/>
                <w:lang w:eastAsia="en-US"/>
              </w:rPr>
            </w:r>
          </w:p>
        </w:tc>
        <w:tc>
          <w:tcPr>
            <w:tcW w:w="540" w:type="dxa"/>
            <w:tcBorders>
              <w:top w:val="single" w:sz="2"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62" w:hRule="atLeast"/>
        </w:trPr>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5</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5</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13</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13</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100.0%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12</w:t>
            </w:r>
          </w:p>
        </w:tc>
        <w:tc>
          <w:tcPr>
            <w:tcW w:w="5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r>
      <w:tr>
        <w:trPr>
          <w:trHeight w:val="262" w:hRule="atLeast"/>
        </w:trPr>
        <w:tc>
          <w:tcPr>
            <w:tcW w:w="1170" w:type="dxa"/>
            <w:tcBorders>
              <w:top w:val="single" w:sz="6" w:space="0" w:color="000000"/>
              <w:start w:val="single" w:sz="6" w:space="0" w:color="000000"/>
              <w:bottom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Area Totals</w:t>
            </w:r>
          </w:p>
        </w:tc>
        <w:tc>
          <w:tcPr>
            <w:tcW w:w="990" w:type="dxa"/>
            <w:tcBorders>
              <w:top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166</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166</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77</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129</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b/>
                <w:color w:val="000000"/>
                <w:lang w:eastAsia="en-US"/>
              </w:rPr>
            </w:pPr>
            <w:r>
              <w:rPr>
                <w:rFonts w:cs="Arial" w:ascii="Arial" w:hAnsi="Arial"/>
                <w:b/>
                <w:color w:val="000000"/>
                <w:lang w:eastAsia="en-US"/>
              </w:rPr>
              <w:t>76.0%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31</w:t>
            </w:r>
          </w:p>
        </w:tc>
        <w:tc>
          <w:tcPr>
            <w:tcW w:w="54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9</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The below four example problems help to explain how financial derivative instruments which are tied to postings of offshore services day rates can be used by offshore commercial customers to help reduce their risk and grow their businesses.</w:t>
      </w:r>
    </w:p>
    <w:p>
      <w:pPr>
        <w:pStyle w:val="Normal"/>
        <w:rPr/>
      </w:pPr>
      <w:r>
        <w:rPr/>
      </w:r>
    </w:p>
    <w:p>
      <w:pPr>
        <w:pStyle w:val="Normal"/>
        <w:numPr>
          <w:ilvl w:val="0"/>
          <w:numId w:val="1"/>
        </w:numPr>
        <w:rPr/>
      </w:pPr>
      <w:r>
        <w:rPr>
          <w:b/>
          <w:u w:val="single"/>
        </w:rPr>
        <w:t>Jackup to Nat Gas Spread</w:t>
      </w:r>
      <w:r>
        <w:rPr/>
        <w:t xml:space="preserve"> - Not Short Production Co. (“NSP”) is a large independent oil and gas production company in the Gulf of Mexico with 70% of their production coming from the shelf </w:t>
      </w:r>
      <w:r>
        <w:rPr>
          <w:rStyle w:val="FootnoteCharacters"/>
          <w:rStyle w:val="FootnoteReference"/>
        </w:rPr>
        <w:footnoteReference w:id="5"/>
      </w:r>
      <w:r>
        <w:rPr/>
        <w:t xml:space="preserve"> of the Gulf of Mexico.  NSP has hedged all of their Proved Developed Producing  (“PDP”) reserves from the Gulf of Mexico for all of 2000 and 2001.  NSP understands all of their production costs over this term except the day rates </w:t>
      </w:r>
      <w:r>
        <w:rPr>
          <w:rStyle w:val="FootnoteCharacters"/>
          <w:rStyle w:val="FootnoteReference"/>
        </w:rPr>
        <w:footnoteReference w:id="6"/>
      </w:r>
      <w:r>
        <w:rPr/>
        <w:t xml:space="preserve"> that they will pay for drilling rig charters.  </w:t>
      </w:r>
    </w:p>
    <w:p>
      <w:pPr>
        <w:pStyle w:val="BodyTextIndent2"/>
        <w:rPr/>
      </w:pPr>
      <w:r>
        <w:rPr/>
        <w:t>The day rates for jackup rigs</w:t>
      </w:r>
      <w:r>
        <w:rPr>
          <w:rStyle w:val="FootnoteCharacters"/>
          <w:rStyle w:val="FootnoteReference"/>
        </w:rPr>
        <w:footnoteReference w:id="7"/>
      </w:r>
      <w:r>
        <w:rPr/>
        <w:t xml:space="preserve"> that will be drilling their wells over the next 2 years in the Gulf of Mexico have contract terms (charter terms) of 1 to 3 months.  Although NSP Production would have liked to lock-in a long term fixed price day rate charter, no drilling contractors have recently been willing to lock up a fixed price charter - because day rates are just too low.  Day rates for Gulf of Mexico jackups seem to be moving up at such a fast rate, drilling contractors are afraid that they will “leave too much money on the table”.  If jackup day rates quickly go back to the same levels as a year and a half ago, NSP could stand to lose $100MM to $150MM over a period of 12 months.  </w:t>
      </w:r>
    </w:p>
    <w:p>
      <w:pPr>
        <w:pStyle w:val="Normal"/>
        <w:ind w:firstLine="720" w:start="720" w:end="0"/>
        <w:rPr/>
      </w:pPr>
      <w:r>
        <w:rPr/>
        <w:t>Although production companies may not consider their historical drilling rig day rate procurement practices to be speculative (because it has been viewed as fundamental to the business), the ability to lock-in day rates (which tend to be a producing company’s most volatile expense) at desirable levels – should be a valuable service.  The alternative (do nothing) strategy is similar to what producers once did in the spot crude and gas markets; most have found that additional strategic options have value.  Clearly, companies that have hedged their production for such a long period (2000 through 2001) but have not locked in their drilling program’s jackup day rates will suffer over the next 1 to 2 years if jackup day rates continue to escalate.</w:t>
      </w:r>
    </w:p>
    <w:p>
      <w:pPr>
        <w:pStyle w:val="Normal"/>
        <w:ind w:firstLine="720" w:end="0"/>
        <w:rPr>
          <w:b/>
          <w:u w:val="single"/>
        </w:rPr>
      </w:pPr>
      <w:r>
        <w:rPr>
          <w:b/>
          <w:u w:val="single"/>
        </w:rPr>
        <w:t>A potential solution:</w:t>
      </w:r>
    </w:p>
    <w:p>
      <w:pPr>
        <w:pStyle w:val="BodyTextIndent2"/>
        <w:rPr/>
      </w:pPr>
      <w:r>
        <w:rPr/>
        <w:t xml:space="preserve">Enron North America through the Offshore Services Group (“ENA”) offers to sell NSP either a derivative call strip or a fixed price tied to the Offshore Data Services (“ODS”) monthly posting of their same type of Jackups that they plan to use.  NSP will be using 8 rigs continuously over the next 18 months.  Four of these rigs are 250 foot mat supported cantilevers; the other four are 300 foot independent leg cantilevers. Offshore Data Services offers postings for both of these and has done so for as long as these types of rigs have been in the Gulf of Mexico (some rig types have 20 years of data).    </w:t>
      </w:r>
    </w:p>
    <w:p>
      <w:pPr>
        <w:pStyle w:val="Normal"/>
        <w:ind w:firstLine="720" w:start="720" w:end="0"/>
        <w:rPr/>
      </w:pPr>
      <w:r>
        <w:rPr/>
        <w:t xml:space="preserve">In order to minimize or eliminate the basis risk, NSP is able to convince their drilling contractors to charter their vessels at a price tied to the posting of ODS by paying a slight premium relative to each rig’s actual historical basis. </w:t>
      </w:r>
      <w:r>
        <w:rPr>
          <w:rStyle w:val="FootnoteCharacters"/>
          <w:rStyle w:val="FootnoteReference"/>
        </w:rPr>
        <w:footnoteReference w:id="8"/>
      </w:r>
      <w:r>
        <w:rPr/>
        <w:t xml:space="preserve"> Once they lock in their day rates with the use of ENA’s derivative products, NSP is able to sign long term, monthly floating price contracts with their drilling contractors (or they could choose to contract on an as needed basis).  In this bullish day rate environment, the drilling contractors will be able to participate in the quick move up in their rig’s day rates.  </w:t>
      </w:r>
      <w:r>
        <w:rPr>
          <w:i/>
        </w:rPr>
        <w:t xml:space="preserve">When NSP locks in the day rate for the same period as their natural gas hedge (the end of 2001), they will have created a </w:t>
      </w:r>
      <w:r>
        <w:rPr>
          <w:b/>
          <w:i/>
        </w:rPr>
        <w:t>Jackup to Nat Gas Spread</w:t>
      </w:r>
      <w:r>
        <w:rPr>
          <w:i/>
        </w:rPr>
        <w:t>.  This spread is similar to other spreads in the energy business such as crack and spark spread in that it locks in a fixed value of cost of goods sold to product prices.</w:t>
      </w:r>
    </w:p>
    <w:p>
      <w:pPr>
        <w:pStyle w:val="Normal"/>
        <w:rPr>
          <w:i/>
          <w:i/>
        </w:rPr>
      </w:pPr>
      <w:r>
        <w:rPr>
          <w:i/>
        </w:rPr>
      </w:r>
    </w:p>
    <w:p>
      <w:pPr>
        <w:pStyle w:val="Normal"/>
        <w:numPr>
          <w:ilvl w:val="0"/>
          <w:numId w:val="1"/>
        </w:numPr>
        <w:rPr/>
      </w:pPr>
      <w:r>
        <w:rPr>
          <w:b/>
          <w:u w:val="single"/>
        </w:rPr>
        <w:t>Tail-end MODU Hedge</w:t>
      </w:r>
      <w:r>
        <w:rPr/>
        <w:t xml:space="preserve"> - Extra Long Production Co. (“ELP”) is a large integrated oil company with a large lease hold position in the deepwaters of Gulf of Mexico, off the coast of Brazil, West Africa, and  North Sea.  During the stable period of crude prices of 1995 through early 1997, ELP signed firm contracts for 5 “to be built” Mobil Offshore Drilling Units (“MODU’s”)</w:t>
      </w:r>
      <w:r>
        <w:rPr>
          <w:rStyle w:val="FootnoteCharacters"/>
          <w:rStyle w:val="FootnoteReference"/>
        </w:rPr>
        <w:footnoteReference w:id="9"/>
      </w:r>
      <w:r>
        <w:rPr/>
        <w:t xml:space="preserve"> at an average day rate of $170,000/day over 5 years beginning in early 2000. </w:t>
      </w:r>
      <w:r>
        <w:rPr>
          <w:rStyle w:val="FootnoteCharacters"/>
          <w:rStyle w:val="FootnoteReference"/>
        </w:rPr>
        <w:footnoteReference w:id="10"/>
      </w:r>
      <w:r>
        <w:rPr/>
        <w:t xml:space="preserve">  Recently, ELP has decided that their drilling plans are not going to be as aggressive as they originally envisioned – they have insufficient prospects to keep their rigs busy for much of the contracted period; they are concerned that they will be forced to offer at least two of their MODU’s in the spot market via a farmout potentially for huge daily losses beginning in early 2001. </w:t>
      </w:r>
      <w:r>
        <w:rPr>
          <w:rStyle w:val="FootnoteCharacters"/>
          <w:rStyle w:val="FootnoteReference"/>
        </w:rPr>
        <w:footnoteReference w:id="11"/>
      </w:r>
      <w:r>
        <w:rPr/>
        <w:t xml:space="preserve">  They have considered using crude or natural gas futures to hedge this exposure, but have found through their analysis that the relationship between crude or natural gas futures to day rates is too unpredictable; there is even the potential that their crude to day rate hedge could go completely “against them”</w:t>
      </w:r>
      <w:r>
        <w:rPr>
          <w:rStyle w:val="FootnoteCharacters"/>
          <w:rStyle w:val="FootnoteReference"/>
        </w:rPr>
        <w:footnoteReference w:id="12"/>
      </w:r>
      <w:r>
        <w:rPr/>
        <w:t xml:space="preserve">.  They have also found that due to FASB 133, ELP runs an extreme risk of  having to “take to income “ any losses that may result from this “dirty hedge”.  </w:t>
      </w:r>
    </w:p>
    <w:p>
      <w:pPr>
        <w:pStyle w:val="BodyTextIndent"/>
        <w:rPr/>
      </w:pPr>
      <w:r>
        <w:rPr>
          <w:b/>
          <w:u w:val="single"/>
        </w:rPr>
        <w:t>A potential solution</w:t>
      </w:r>
      <w:r>
        <w:rPr>
          <w:b/>
        </w:rPr>
        <w:t>:</w:t>
      </w:r>
    </w:p>
    <w:p>
      <w:pPr>
        <w:pStyle w:val="BodyTextIndent"/>
        <w:ind w:firstLine="720" w:end="0"/>
        <w:rPr/>
      </w:pPr>
      <w:r>
        <w:rPr/>
        <w:t xml:space="preserve">Enron North America is willing to offer ELP a day rate put strip on the last 2-3 years of their fixed price contract.  ELP would pay a premium for downside protection of their day rates for a pre-agreed term.  During the next 6 months when prices of rigs are rising, ELP can have some leverage as they patiently wait for buyers to “come out of the woodwork”.  They can enter into a long term firm “floating price” physical contract (farmout) tied to the same posting as their put strip (plus or minus a premium or discount) which will liquidate ELP’s day rate length.  </w:t>
      </w:r>
    </w:p>
    <w:p>
      <w:pPr>
        <w:pStyle w:val="BodyTextIndent"/>
        <w:ind w:firstLine="720" w:end="0"/>
        <w:rPr/>
      </w:pPr>
      <w:r>
        <w:rPr/>
        <w:t xml:space="preserve">If day rates continue higher over the next 5 years, then ELP will benefit from such a move and will make a profit off of the difference in their $170,000/day and the resulting day rates.  If prices fall, then ELP will receive monthly checks from Enron North America – thereby offsetting their loss in the day rates.  </w:t>
      </w:r>
    </w:p>
    <w:p>
      <w:pPr>
        <w:pStyle w:val="BodyTextIndent"/>
        <w:ind w:firstLine="720" w:end="0"/>
        <w:rPr/>
      </w:pPr>
      <w:r>
        <w:rPr/>
        <w:t xml:space="preserve">The new owner of the long term floating price contract will be able to protect their price risk at a time that “fits their book”.  They may choose to lock in their fixed price at a time when prices are low relative to historicals – or if they desire, they may never lock in their day rate.  This ability to allow the two players to choose to fix their day rate independent of one another has proven to be attractive in the crude oil and natural gas businesses. </w:t>
      </w:r>
    </w:p>
    <w:p>
      <w:pPr>
        <w:pStyle w:val="BodyTextIndent"/>
        <w:rPr/>
      </w:pPr>
      <w:r>
        <w:rPr/>
      </w:r>
    </w:p>
    <w:p>
      <w:pPr>
        <w:pStyle w:val="BodyTextIndent"/>
        <w:numPr>
          <w:ilvl w:val="0"/>
          <w:numId w:val="1"/>
        </w:numPr>
        <w:rPr/>
      </w:pPr>
      <w:r>
        <w:rPr>
          <w:b/>
          <w:u w:val="single"/>
        </w:rPr>
        <w:t>New Build Hedge</w:t>
      </w:r>
      <w:r>
        <w:rPr/>
        <w:t xml:space="preserve"> - Want to Grow Drilling Co. (“WTG”) is a small offshore drilling contractor in the Gulf of Mexico.  They only have two new shallow water drilling rigs (350 foot Independent Leg Cantilever Jackups).  WTG is looking for a way to grow their business; they need to find ways to build new drilling rigs. </w:t>
      </w:r>
    </w:p>
    <w:p>
      <w:pPr>
        <w:pStyle w:val="BodyTextIndent"/>
        <w:ind w:firstLine="720" w:end="0"/>
        <w:rPr/>
      </w:pPr>
      <w:r>
        <w:rPr/>
        <w:t xml:space="preserve">Although they have a small percentage and level of debt, they do not have enough capacity to build rigs “on spec” and need firm long term contracts to be able to finance “new builds”.  Current market for day rates is far too low to justify a new build – so WTG must be working on a plan to allow them to capitalize on the next move up in day rates.  </w:t>
      </w:r>
    </w:p>
    <w:p>
      <w:pPr>
        <w:pStyle w:val="BodyTextIndent"/>
        <w:ind w:firstLine="720" w:end="0"/>
        <w:rPr/>
      </w:pPr>
      <w:r>
        <w:rPr/>
        <w:t xml:space="preserve">Because of the chance of production companies eventually abrogating “out-of-the-money” fixed-price long-term contracts, WTG is reluctant to build their new drilling rigs tied to day rates that one day will be a very “bad deal” for their customers.   Leverage is another reason; if WTG has to go to court with their customer to settle their “day-rate driven” dispute, WTG runs the chance of losing a future customer.   Additionally, how often does a drilling contractor walk on a long term contract?  Clearly this is not a level playing field. </w:t>
      </w:r>
      <w:r>
        <w:rPr>
          <w:rStyle w:val="FootnoteCharacters"/>
          <w:rStyle w:val="FootnoteReference"/>
        </w:rPr>
        <w:footnoteReference w:id="13"/>
      </w:r>
      <w:r>
        <w:rPr/>
        <w:t xml:space="preserve"> </w:t>
      </w:r>
    </w:p>
    <w:p>
      <w:pPr>
        <w:pStyle w:val="BodyTextIndent"/>
        <w:rPr/>
      </w:pPr>
      <w:r>
        <w:rPr>
          <w:b/>
          <w:u w:val="single"/>
        </w:rPr>
        <w:t>A potential solution</w:t>
      </w:r>
      <w:r>
        <w:rPr/>
        <w:t>:</w:t>
      </w:r>
    </w:p>
    <w:p>
      <w:pPr>
        <w:pStyle w:val="BodyTextIndent"/>
        <w:ind w:firstLine="720" w:end="0"/>
        <w:rPr/>
      </w:pPr>
      <w:r>
        <w:rPr/>
        <w:t xml:space="preserve">WTG needs to find a customer that would sign a firm, long-term physical contract (that would begin upon delivery of a new Jackup in 2 years) with a “floating” day rate tied to a monthly ODS posting of 350 foot independent leg Jackups. Concurrently (when the forward curve of day rates is high enough to justify the new build), they would sell a “fixed for float” long-term swap day rate to ENA to lock in the resulting price of the day rate.  The producer now has 2 years to wait for the forward curve to fall and allow them to “lock-in” their day rate </w:t>
      </w:r>
      <w:r>
        <w:rPr>
          <w:b/>
        </w:rPr>
        <w:t>when the producer wants to, not when the drilling contractor wants to – they may even choose to never lock in their day rate.</w:t>
      </w:r>
    </w:p>
    <w:p>
      <w:pPr>
        <w:pStyle w:val="BodyTextIndent"/>
        <w:ind w:firstLine="720" w:end="0"/>
        <w:rPr>
          <w:b/>
        </w:rPr>
      </w:pPr>
      <w:r>
        <w:rPr/>
        <w:t>Since the above strategy requires that “all the stars have to line up just right - at the same time” another method to build the rig would be to leverage existing assets.</w:t>
      </w:r>
      <w:r>
        <w:rPr>
          <w:rStyle w:val="FootnoteCharacters"/>
          <w:rStyle w:val="FootnoteReference"/>
        </w:rPr>
        <w:footnoteReference w:id="14"/>
      </w:r>
      <w:r>
        <w:rPr/>
        <w:t xml:space="preserve">  WTG has two other rigs.  They could sell a  “fixed for float” long-term swap day rate to ENA at any time that the day rates are sufficient.  WTG can lock up their rig under a floating price long-term physical charter with either one company or a rig club </w:t>
      </w:r>
      <w:r>
        <w:rPr>
          <w:rStyle w:val="FootnoteCharacters"/>
          <w:rStyle w:val="FootnoteReference"/>
        </w:rPr>
        <w:footnoteReference w:id="15"/>
      </w:r>
      <w:r>
        <w:rPr/>
        <w:t xml:space="preserve"> tied to the same posting that they sold to ENA.  Coupling the two contracts, WTG can then go to the bank and borrow against the value of the cash flows of the contracts.  The advantage to using this method is the timing of the hedge is easier to predict, i.e., a delay in the construction could add additional timing basis to the hedge; also, WTG could pre-agree with the banks on the strategy and place an open “limit” order with ENA.  </w:t>
      </w:r>
    </w:p>
    <w:p>
      <w:pPr>
        <w:pStyle w:val="BodyTextIndent"/>
        <w:ind w:start="0" w:end="0"/>
        <w:rPr>
          <w:b/>
        </w:rPr>
      </w:pPr>
      <w:r>
        <w:rPr>
          <w:b/>
        </w:rPr>
      </w:r>
    </w:p>
    <w:p>
      <w:pPr>
        <w:pStyle w:val="BodyTextIndent"/>
        <w:numPr>
          <w:ilvl w:val="0"/>
          <w:numId w:val="1"/>
        </w:numPr>
        <w:rPr/>
      </w:pPr>
      <w:r>
        <w:rPr>
          <w:b/>
          <w:u w:val="single"/>
        </w:rPr>
        <w:t xml:space="preserve">Support Vessel Hedge </w:t>
      </w:r>
      <w:r>
        <w:rPr/>
        <w:t xml:space="preserve">- We Got Rigs and Boats Co. (“WGRB”) is in both the offshore drilling and support vessel business.  A majority of their revenue comes from support vessels relative to their small inventory of Jackups and inland water drilling barges.  They believe that the growth in the offshore business in the next 2 years will be in the deepwater but their drilling rig strategy is limited to the shallow water of the shelf.  Although they have support vessels that meet the needs of deepwater rigs, the largest percentage of their support vessel fleet is designed for the shelf.  WGRB would like to lock in long term contracts on 20 support vessels but weak market dynamics are preventing them from being able to lock in fixed price vessel contracts.  The support vessel business has always used short term pricing for boat charters. </w:t>
      </w:r>
    </w:p>
    <w:p>
      <w:pPr>
        <w:pStyle w:val="BodyTextIndent"/>
        <w:rPr>
          <w:b/>
          <w:u w:val="single"/>
        </w:rPr>
      </w:pPr>
      <w:r>
        <w:rPr>
          <w:b/>
          <w:u w:val="single"/>
        </w:rPr>
      </w:r>
    </w:p>
    <w:p>
      <w:pPr>
        <w:pStyle w:val="BodyTextIndent"/>
        <w:rPr/>
      </w:pPr>
      <w:r>
        <w:rPr>
          <w:b/>
          <w:u w:val="single"/>
        </w:rPr>
        <w:t>A potential solution</w:t>
      </w:r>
      <w:r>
        <w:rPr/>
        <w:t>:</w:t>
      </w:r>
    </w:p>
    <w:p>
      <w:pPr>
        <w:pStyle w:val="BodyTextIndent"/>
        <w:ind w:firstLine="720" w:end="0"/>
        <w:rPr/>
      </w:pPr>
      <w:r>
        <w:rPr/>
        <w:t>Enron North America offers WGRB a fixed price derivative contract for 20 vessels for 5 years tied to the Offshore Data Services posting of support vessels in the Gulf of Mexico.  Along side of this contract, WGRB offers a physical long-term charter for 20 vessels (spread out over 5 producers) with a floating price tied to the same posting as their derivative with ENA.  By locking in the fixed price tied to a floating physical charter, WGRB is able to take the resulting fixed price contracts to “the bank” and get additional funding to build a new Jackup drilling rig.  When prices in natural gas fall, normally demand and prices for support vessels falls – but since WGRB was able to “lock-in” their boats under floating prices, they are able to keep their boats busy and able to collect the additional funds (for the difference between their fixed price to ENA and the resulting postings) from ENA.</w:t>
      </w:r>
    </w:p>
    <w:p>
      <w:pPr>
        <w:pStyle w:val="BodyTextIndent"/>
        <w:ind w:start="0" w:end="0"/>
        <w:rPr/>
      </w:pPr>
      <w:r>
        <w:rPr/>
      </w:r>
    </w:p>
    <w:p>
      <w:pPr>
        <w:pStyle w:val="BodyTextIndent"/>
        <w:rPr>
          <w:b/>
          <w:u w:val="single"/>
        </w:rPr>
      </w:pPr>
      <w:r>
        <w:rPr>
          <w:b/>
          <w:u w:val="single"/>
        </w:rPr>
      </w:r>
    </w:p>
    <w:p>
      <w:pPr>
        <w:pStyle w:val="BodyTextIndent"/>
        <w:rPr>
          <w:b/>
          <w:u w:val="single"/>
        </w:rPr>
      </w:pPr>
      <w:r>
        <w:rPr>
          <w:b/>
          <w:u w:val="single"/>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pPr>
      <w:r>
        <w:rPr/>
      </w:r>
    </w:p>
    <w:sectPr>
      <w:headerReference w:type="default" r:id="rId2"/>
      <w:footerReference w:type="default" r:id="rId3"/>
      <w:footnotePr>
        <w:numFmt w:val="decimal"/>
      </w:footnotePr>
      <w:type w:val="nextPage"/>
      <w:pgSz w:w="12240" w:h="15840"/>
      <w:pgMar w:left="1800" w:right="1800" w:gutter="0" w:header="720" w:top="18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u w:val="single"/>
        <w:lang w:eastAsia="en-US"/>
      </w:rPr>
      <w:t>Highly Confidential</w:t>
    </w: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6</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6</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A jackup is one of the fundamental designs of offshore drilling rigs.  One will hear of two basic structures, Mat Supported (there are around 70 of these in the world) and Independent Leg Jackups (around 300 of these).  Of these two types of structures, there are two basic designs, Slots (80 of these) and Cantilevers (around 300 of these).  In addition to this type of detail, there are different water depth designs, (0-200’), 250’, 300’, and over 300’.  </w:t>
      </w:r>
    </w:p>
  </w:footnote>
  <w:footnote w:id="3">
    <w:p>
      <w:pPr>
        <w:pStyle w:val="FootnoteText"/>
        <w:rPr/>
      </w:pPr>
      <w:r>
        <w:rPr>
          <w:rStyle w:val="FootnoteCharacters"/>
        </w:rPr>
        <w:footnoteRef/>
      </w:r>
      <w:r>
        <w:rPr/>
        <w:t xml:space="preserve"> </w:t>
      </w:r>
      <w:r>
        <w:rPr/>
        <w:t xml:space="preserve">Semisubmersibles (often called Semi’s) are huge structures that float on pontoons.  10-15  years ago they had the capability to drill in waters no deeper than 2,000 to 3,000 feet but now many of them are designed for “ultra deepwater” or water which is greater than 5,000’ deep; with several able to drill in water depths up to 8,000 – 9,000 feet. There are currently around 180 Semis in the world including 32 which are being modified or under construction for delivery over the next year at a new build cost of $180MM to $335MM.  It takes 2 ½ to 3 years to build a Semi. There around 100 semis at work drilling today; 10 are cold stacked (meaning requiring significant capital before being functional);  38 are ready stacked (functional and marketable but not working).  If one assumes an average day rate of $100,000/day for 110 semis, this amounts to a total annual expense of  $4 Billion – not including mobilization and demobilization fees (which range from $(1-10)MM) for each move.   </w:t>
      </w:r>
    </w:p>
  </w:footnote>
  <w:footnote w:id="4">
    <w:p>
      <w:pPr>
        <w:pStyle w:val="FootnoteText"/>
        <w:rPr/>
      </w:pPr>
      <w:r>
        <w:rPr>
          <w:rStyle w:val="FootnoteCharacters"/>
        </w:rPr>
        <w:footnoteRef/>
      </w:r>
      <w:r>
        <w:rPr/>
        <w:t xml:space="preserve"> </w:t>
      </w:r>
      <w:r>
        <w:rPr/>
        <w:t>Drillships are just what they sound like, drilling rigs on ships.  The common depth rating for those under construction is 10,000 feet with their construction taking around 2 ½ years and costing around $250MM to $350MM; one is expected to cost $600MM.  There are currently around forty drillships in the world including 12 which are either under construction or being modified; 17 drillships are drilling currently; 2 are cold stacked and 4 are ready stacked.  If one assumes an average day rate of $120,000/day for 20 drillships, this equates to an annual day rate of $900MM.</w:t>
      </w:r>
    </w:p>
  </w:footnote>
  <w:footnote w:id="5">
    <w:p>
      <w:pPr>
        <w:pStyle w:val="FootnoteText"/>
        <w:rPr/>
      </w:pPr>
      <w:r>
        <w:rPr>
          <w:rStyle w:val="FootnoteCharacters"/>
        </w:rPr>
        <w:footnoteRef/>
      </w:r>
      <w:r>
        <w:rPr/>
        <w:t xml:space="preserve"> </w:t>
      </w:r>
      <w:r>
        <w:rPr/>
        <w:t>The shelf is generally understood to be the area in which a jackup (see footnote below) can drill, with water depths ranging between 0 to 400’.</w:t>
      </w:r>
    </w:p>
  </w:footnote>
  <w:footnote w:id="6">
    <w:p>
      <w:pPr>
        <w:pStyle w:val="FootnoteText"/>
        <w:rPr/>
      </w:pPr>
      <w:r>
        <w:rPr>
          <w:rStyle w:val="FootnoteCharacters"/>
        </w:rPr>
        <w:footnoteRef/>
      </w:r>
      <w:r>
        <w:rPr/>
        <w:t xml:space="preserve"> </w:t>
      </w:r>
      <w:r>
        <w:rPr/>
        <w:t>The way in which producers pay for drilling rig services is based on a Day Rate or a certain $/day cost.</w:t>
      </w:r>
    </w:p>
  </w:footnote>
  <w:footnote w:id="7">
    <w:p>
      <w:pPr>
        <w:pStyle w:val="FootnoteText"/>
        <w:rPr/>
      </w:pPr>
      <w:r>
        <w:rPr>
          <w:rStyle w:val="FootnoteCharacters"/>
        </w:rPr>
        <w:footnoteRef/>
      </w:r>
      <w:r>
        <w:rPr/>
        <w:t>.   The other types of offshore drilling rigs are Submersibles, Semisubmersibles, Drillships, Platform Rigs, Tenders, Barge Rigs.</w:t>
      </w:r>
    </w:p>
  </w:footnote>
  <w:footnote w:id="8">
    <w:p>
      <w:pPr>
        <w:pStyle w:val="FootnoteText"/>
        <w:rPr/>
      </w:pPr>
      <w:r>
        <w:rPr>
          <w:rStyle w:val="FootnoteCharacters"/>
        </w:rPr>
        <w:footnoteRef/>
      </w:r>
      <w:r>
        <w:rPr/>
        <w:t xml:space="preserve"> </w:t>
      </w:r>
      <w:r>
        <w:rPr/>
        <w:t>Historical day rates are available from ODS for each of the rigs that NSP is using; also from ODS, NSP is able compare these historical prices to actual ODS postings (average of high/low) of each rig type.</w:t>
      </w:r>
    </w:p>
  </w:footnote>
  <w:footnote w:id="9">
    <w:p>
      <w:pPr>
        <w:pStyle w:val="FootnoteText"/>
        <w:rPr/>
      </w:pPr>
      <w:r>
        <w:rPr>
          <w:rStyle w:val="FootnoteCharacters"/>
        </w:rPr>
        <w:footnoteRef/>
      </w:r>
      <w:r>
        <w:rPr/>
        <w:t xml:space="preserve"> </w:t>
      </w:r>
      <w:r>
        <w:rPr/>
        <w:t>MODU is a “catch all” for Semisubmersibles and Drillships.</w:t>
      </w:r>
    </w:p>
  </w:footnote>
  <w:footnote w:id="10">
    <w:p>
      <w:pPr>
        <w:pStyle w:val="FootnoteText"/>
        <w:rPr/>
      </w:pPr>
      <w:r>
        <w:rPr>
          <w:rStyle w:val="FootnoteCharacters"/>
        </w:rPr>
        <w:footnoteRef/>
      </w:r>
      <w:r>
        <w:rPr/>
        <w:t xml:space="preserve"> </w:t>
      </w:r>
      <w:r>
        <w:rPr/>
        <w:t>Following the fall in NYMEX crude oil futures from $26 to $11 per Bbl in early 1997 to late 1998, day rates (average of high-low posting as per Offshore Data Services) for 4</w:t>
      </w:r>
      <w:r>
        <w:rPr>
          <w:vertAlign w:val="superscript"/>
        </w:rPr>
        <w:t>th</w:t>
      </w:r>
      <w:r>
        <w:rPr/>
        <w:t xml:space="preserve"> generation semi-submersibles fell from $172M/day to $65M/day or 62% (day rates’ fall began in January of 1999 and reached their nadir only 6 months later in July of 1999; $90M/day of this drop in day rate value happened over the last two months of this period).  Current market for these 4</w:t>
      </w:r>
      <w:r>
        <w:rPr>
          <w:vertAlign w:val="superscript"/>
        </w:rPr>
        <w:t>th</w:t>
      </w:r>
      <w:r>
        <w:rPr/>
        <w:t xml:space="preserve"> generation semisubmersibles is around $100,000/day.</w:t>
      </w:r>
    </w:p>
  </w:footnote>
  <w:footnote w:id="11">
    <w:p>
      <w:pPr>
        <w:pStyle w:val="FootnoteText"/>
        <w:rPr/>
      </w:pPr>
      <w:r>
        <w:rPr>
          <w:rStyle w:val="FootnoteCharacters"/>
        </w:rPr>
        <w:footnoteRef/>
      </w:r>
      <w:r>
        <w:rPr/>
        <w:t xml:space="preserve"> </w:t>
      </w:r>
      <w:r>
        <w:rPr/>
        <w:t>. “An operator with a rig but no prospects to drill has three options.  It can tie the rig to the dock, in which case it loses the entire standby dayrate and gets nothing in return.  It can put it on a well where partners have agreed to pay a certain, probably low, dayrate and it writes off the remainder as a loss, saving some money.  It can also farm out the rig to another operator at whatever dayrate the market will bear.” “Farmouts affect deepwater market utilization”, The Bassoe Offshore Monthly, April 1999, page 3.</w:t>
      </w:r>
    </w:p>
  </w:footnote>
  <w:footnote w:id="12">
    <w:p>
      <w:pPr>
        <w:pStyle w:val="FootnoteText"/>
        <w:rPr/>
      </w:pPr>
      <w:r>
        <w:rPr>
          <w:rStyle w:val="FootnoteCharacters"/>
        </w:rPr>
        <w:footnoteRef/>
      </w:r>
      <w:r>
        <w:rPr/>
        <w:t xml:space="preserve"> </w:t>
      </w:r>
      <w:r>
        <w:rPr/>
        <w:t xml:space="preserve">by crude prices rallying toward the end of their contract life and day rates’ percentage increase lagging behind.  </w:t>
      </w:r>
    </w:p>
  </w:footnote>
  <w:footnote w:id="13">
    <w:p>
      <w:pPr>
        <w:pStyle w:val="BodyTextIndent"/>
        <w:ind w:start="0" w:end="0"/>
        <w:rPr/>
      </w:pPr>
      <w:r>
        <w:rPr>
          <w:rStyle w:val="FootnoteCharacters"/>
        </w:rPr>
        <w:footnoteRef/>
      </w:r>
      <w:r>
        <w:rPr/>
        <w:t xml:space="preserve"> </w:t>
      </w:r>
      <w:r>
        <w:rPr/>
        <w:t>These concepts seem to be at least part of the reason for intermediaries - such as ENA- having a real place in businesses that have volatile prices.  If spot prices go to extreme levels, trading companies act as a real buffer by eliminating  “price majeure”.  Clearly, there is value in being able to limit your lawsuits to non-traditional companies like ENA for the “price portion” of contracts; additionally trading companies will not hesitate to sue their trading partners.  This tends to level a large part of the playing field.</w:t>
      </w:r>
    </w:p>
    <w:p>
      <w:pPr>
        <w:pStyle w:val="FootnoteText"/>
        <w:rPr/>
      </w:pPr>
      <w:r>
        <w:rPr/>
        <w:t>These same types of problems were common in the spot market of the natural gas business as producers found dealing with maketers the preferred method of selling their spot market supplies.  Marketers (or trading companies) compete through offering flexibility and services that traditional customers could not contemplate.  These trading companies helped to make the spot market more efficient and allow a quicker allocation of resources.</w:t>
      </w:r>
    </w:p>
  </w:footnote>
  <w:footnote w:id="14">
    <w:p>
      <w:pPr>
        <w:pStyle w:val="FootnoteText"/>
        <w:rPr/>
      </w:pPr>
      <w:r>
        <w:rPr>
          <w:rStyle w:val="FootnoteCharacters"/>
        </w:rPr>
        <w:footnoteRef/>
      </w:r>
      <w:r>
        <w:rPr/>
        <w:t xml:space="preserve"> </w:t>
      </w:r>
      <w:r>
        <w:rPr/>
        <w:t>This method looks similar to a producer finance product called the Volumetric Production Payment – which allows producers to leverage expected production while maintaining a high level of operational control of the asset.</w:t>
      </w:r>
    </w:p>
  </w:footnote>
  <w:footnote w:id="15">
    <w:p>
      <w:pPr>
        <w:pStyle w:val="FootnoteText"/>
        <w:rPr/>
      </w:pPr>
      <w:r>
        <w:rPr>
          <w:rStyle w:val="FootnoteCharacters"/>
        </w:rPr>
        <w:footnoteRef/>
      </w:r>
      <w:r>
        <w:rPr/>
        <w:t xml:space="preserve"> </w:t>
      </w:r>
      <w:r>
        <w:rPr/>
        <w:t xml:space="preserve">A rig club is a consortium of production companies that may band together to charter a drilling rig for a long term. For example, a rig could be chartered for 3 years with three production companies – with each production company committed to 12 months of work.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u w:val="single"/>
      </w:rPr>
    </w:pPr>
    <w:r>
      <w:rPr>
        <w:b/>
        <w:sz w:val="22"/>
        <w:u w:val="single"/>
      </w:rPr>
      <w:t>A Potential New Forward Market for Enron North America</w:t>
    </w:r>
  </w:p>
  <w:p>
    <w:pPr>
      <w:pStyle w:val="Header"/>
      <w:jc w:val="center"/>
      <w:rPr>
        <w:b/>
        <w:sz w:val="22"/>
      </w:rPr>
    </w:pPr>
    <w:r>
      <w:rPr>
        <w:b/>
        <w:sz w:val="22"/>
      </w:rPr>
      <w:t>Offshore Services Day Rates</w:t>
    </w:r>
  </w:p>
  <w:p>
    <w:pPr>
      <w:pStyle w:val="Header"/>
      <w:jc w:val="center"/>
      <w:rPr>
        <w:b/>
        <w:sz w:val="22"/>
      </w:rPr>
    </w:pPr>
    <w:r>
      <w:rPr>
        <w:b/>
        <w:sz w:val="22"/>
      </w:rPr>
      <w:t>For Drilling Rigs and Support Vessels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2000-02-15T19:14:00Z</dcterms:created>
  <dc:creator>John A. Peyton</dc:creator>
  <dc:description/>
  <dc:language>en-CA</dc:language>
  <cp:lastModifiedBy>John A. Peyton</cp:lastModifiedBy>
  <cp:lastPrinted>2000-02-16T01:18:00Z</cp:lastPrinted>
  <dcterms:modified xsi:type="dcterms:W3CDTF">2000-02-16T04:50:00Z</dcterms:modified>
  <cp:revision>14</cp:revision>
  <dc:subject/>
  <dc:title>Example problems outlining how derivatives tied to postings of offshore services day rates can be used by commercial customers to hedge their business</dc:title>
</cp:coreProperties>
</file>