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tabs>
          <w:tab w:val="clear" w:pos="720"/>
          <w:tab w:val="left" w:pos="2070" w:leader="none"/>
          <w:tab w:val="left" w:pos="3420" w:leader="none"/>
          <w:tab w:val="left" w:pos="4230" w:leader="none"/>
          <w:tab w:val="left" w:pos="4410" w:leader="none"/>
          <w:tab w:val="left" w:pos="5130" w:leader="none"/>
        </w:tabs>
        <w:jc w:val="center"/>
        <w:rPr>
          <w:rFonts w:ascii="Times New Roman" w:hAnsi="Times New Roman" w:cs="Times New Roman"/>
          <w:b/>
          <w:sz w:val="36"/>
        </w:rPr>
      </w:pPr>
      <w:r>
        <w:rPr>
          <w:rFonts w:cs="Times New Roman" w:ascii="Times New Roman" w:hAnsi="Times New Roman"/>
          <w:b/>
          <w:sz w:val="36"/>
        </w:rPr>
        <w:t>Omari Dawson</w:t>
      </w:r>
    </w:p>
    <w:p>
      <w:pPr>
        <w:pStyle w:val="Normal"/>
        <w:pBdr>
          <w:bottom w:val="single" w:sz="12" w:space="1" w:color="000000"/>
        </w:pBdr>
        <w:tabs>
          <w:tab w:val="clear" w:pos="720"/>
          <w:tab w:val="right" w:pos="3334" w:leader="none"/>
        </w:tabs>
        <w:rPr>
          <w:rFonts w:ascii="Times New Roman" w:hAnsi="Times New Roman" w:cs="Times New Roman"/>
          <w:b/>
          <w:sz w:val="16"/>
        </w:rPr>
      </w:pPr>
      <w:r>
        <w:rPr>
          <w:rFonts w:cs="Times New Roman"/>
          <w:b/>
          <w:sz w:val="16"/>
        </w:rPr>
      </w:r>
    </w:p>
    <w:p>
      <w:pPr>
        <w:pStyle w:val="Normal"/>
        <w:jc w:val="center"/>
        <w:rPr/>
      </w:pPr>
      <w:r>
        <w:rPr>
          <w:rFonts w:cs="Arial" w:ascii="Arial" w:hAnsi="Arial"/>
          <w:i/>
        </w:rPr>
        <w:t xml:space="preserve">4838 Caris St. </w:t>
      </w:r>
      <w:r>
        <w:rPr>
          <w:rFonts w:cs="Arial" w:ascii="Symbol" w:hAnsi="Symbol"/>
          <w:i/>
          <w:sz w:val="20"/>
        </w:rPr>
        <w:sym w:font="Symbol" w:char="b7"/>
      </w:r>
      <w:r>
        <w:rPr>
          <w:rFonts w:cs="Arial" w:ascii="Arial" w:hAnsi="Arial"/>
          <w:i/>
        </w:rPr>
        <w:t xml:space="preserve"> Houston, Texas 77091 </w:t>
      </w:r>
      <w:r>
        <w:rPr>
          <w:rFonts w:cs="Arial" w:ascii="Symbol" w:hAnsi="Symbol"/>
          <w:i/>
          <w:sz w:val="20"/>
        </w:rPr>
        <w:sym w:font="Symbol" w:char="b7"/>
      </w:r>
      <w:r>
        <w:rPr>
          <w:rFonts w:cs="Arial" w:ascii="Arial" w:hAnsi="Arial"/>
          <w:i/>
        </w:rPr>
        <w:t xml:space="preserve">  (713) 869</w:t>
        <w:noBreakHyphen/>
        <w:t xml:space="preserve">4289(Hm.) </w:t>
      </w:r>
      <w:r>
        <w:rPr>
          <w:rFonts w:cs="Arial" w:ascii="Symbol" w:hAnsi="Symbol"/>
          <w:i/>
          <w:sz w:val="20"/>
        </w:rPr>
        <w:sym w:font="Symbol" w:char="b7"/>
      </w:r>
      <w:r>
        <w:rPr>
          <w:rFonts w:cs="Arial" w:ascii="Arial" w:hAnsi="Arial"/>
          <w:i/>
        </w:rPr>
        <w:t xml:space="preserve">  (713) 767-6602(wk)</w:t>
      </w:r>
    </w:p>
    <w:p>
      <w:pPr>
        <w:pStyle w:val="Normal"/>
        <w:jc w:val="center"/>
        <w:rPr/>
      </w:pPr>
      <w:r>
        <w:rPr>
          <w:rFonts w:cs="Arial" w:ascii="Arial" w:hAnsi="Arial"/>
          <w:i/>
        </w:rPr>
        <w:t xml:space="preserve">e-mail: </w:t>
      </w:r>
      <w:r>
        <w:rPr>
          <w:rFonts w:cs="Arial" w:ascii="Arial" w:hAnsi="Arial"/>
          <w:i/>
          <w:u w:val="single"/>
        </w:rPr>
        <w:t>odaw@prodigy.net</w:t>
      </w:r>
      <w:r>
        <w:rPr>
          <w:rFonts w:cs="Arial" w:ascii="Arial" w:hAnsi="Arial"/>
          <w:u w:val="single"/>
        </w:rPr>
        <w:t xml:space="preserve"> </w:t>
      </w:r>
    </w:p>
    <w:p>
      <w:pPr>
        <w:pStyle w:val="PlainText"/>
        <w:rPr>
          <w:rFonts w:ascii="Albertus Medium" w:hAnsi="Albertus Medium" w:cs="Albertus Medium"/>
          <w:u w:val="single"/>
        </w:rPr>
      </w:pPr>
      <w:r>
        <w:rPr>
          <w:rFonts w:cs="Albertus Medium" w:ascii="Albertus Medium" w:hAnsi="Albertus Medium"/>
          <w:u w:val="single"/>
        </w:rPr>
      </w:r>
    </w:p>
    <w:p>
      <w:pPr>
        <w:pStyle w:val="Heading3"/>
        <w:ind w:hanging="0" w:start="0"/>
        <w:rPr>
          <w:sz w:val="28"/>
        </w:rPr>
      </w:pPr>
      <w:r>
        <w:rPr/>
        <w:t>Summary of Qualifications</w:t>
      </w:r>
    </w:p>
    <w:p>
      <w:pPr>
        <w:pStyle w:val="Normal"/>
        <w:ind w:start="180" w:end="0"/>
        <w:rPr/>
      </w:pPr>
      <w:r>
        <w:rPr>
          <w:b/>
          <w:sz w:val="22"/>
        </w:rPr>
        <w:t>•</w:t>
      </w:r>
      <w:r>
        <w:rPr>
          <w:b/>
          <w:sz w:val="19"/>
        </w:rPr>
        <w:tab/>
      </w:r>
      <w:r>
        <w:rPr>
          <w:b/>
        </w:rPr>
        <w:t>Solid background in power trading</w:t>
      </w:r>
    </w:p>
    <w:p>
      <w:pPr>
        <w:pStyle w:val="Normal"/>
        <w:ind w:firstLine="270" w:start="720" w:end="0"/>
        <w:rPr/>
      </w:pPr>
      <w:r>
        <w:rPr>
          <w:rFonts w:eastAsia="Symbol" w:cs="Symbol" w:ascii="Symbol" w:hAnsi="Symbol"/>
          <w:i/>
          <w:sz w:val="18"/>
        </w:rPr>
        <w:sym w:font="Symbol" w:char="f0de"/>
      </w:r>
      <w:r>
        <w:rPr>
          <w:i/>
        </w:rPr>
        <w:t>Traded hourly and daily contracts in volatile power market.</w:t>
      </w:r>
    </w:p>
    <w:p>
      <w:pPr>
        <w:pStyle w:val="Normal"/>
        <w:ind w:hanging="544" w:start="720" w:end="0"/>
        <w:rPr/>
      </w:pPr>
      <w:r>
        <w:rPr>
          <w:b/>
          <w:sz w:val="22"/>
        </w:rPr>
        <w:t xml:space="preserve">• </w:t>
      </w:r>
      <w:r>
        <w:rPr>
          <w:b/>
          <w:sz w:val="19"/>
        </w:rPr>
        <w:tab/>
      </w:r>
      <w:r>
        <w:rPr>
          <w:b/>
        </w:rPr>
        <w:t xml:space="preserve">Clear track record moving power in all areas of the electric power grid </w:t>
      </w:r>
    </w:p>
    <w:p>
      <w:pPr>
        <w:pStyle w:val="Normal"/>
        <w:tabs>
          <w:tab w:val="clear" w:pos="720"/>
          <w:tab w:val="left" w:pos="4590" w:leader="none"/>
        </w:tabs>
        <w:ind w:firstLine="270" w:start="720" w:end="0"/>
        <w:rPr/>
      </w:pPr>
      <w:r>
        <w:rPr>
          <w:rFonts w:eastAsia="Symbol" w:cs="Symbol" w:ascii="Symbol" w:hAnsi="Symbol"/>
          <w:i/>
          <w:sz w:val="18"/>
        </w:rPr>
        <w:sym w:font="Symbol" w:char="f0de"/>
      </w:r>
      <w:r>
        <w:rPr>
          <w:i/>
        </w:rPr>
        <w:t>Scheduled in real time, hourly, and  next day for all regions in east and west power markets</w:t>
      </w:r>
      <w:r>
        <w:rPr>
          <w:i/>
          <w:sz w:val="18"/>
        </w:rPr>
        <w:t xml:space="preserve"> .</w:t>
      </w:r>
    </w:p>
    <w:p>
      <w:pPr>
        <w:pStyle w:val="Normal"/>
        <w:ind w:start="180" w:end="0"/>
        <w:rPr/>
      </w:pPr>
      <w:r>
        <w:rPr>
          <w:b/>
          <w:sz w:val="22"/>
        </w:rPr>
        <w:t>•</w:t>
      </w:r>
      <w:r>
        <w:rPr>
          <w:b/>
          <w:sz w:val="19"/>
        </w:rPr>
        <w:tab/>
      </w:r>
      <w:r>
        <w:rPr>
          <w:b/>
        </w:rPr>
        <w:t>Proven grasp of the fundamentals that drive short and long term power markets</w:t>
      </w:r>
    </w:p>
    <w:p>
      <w:pPr>
        <w:pStyle w:val="Normal"/>
        <w:ind w:firstLine="270" w:start="720" w:end="0"/>
        <w:rPr/>
      </w:pPr>
      <w:r>
        <w:rPr>
          <w:rFonts w:eastAsia="Symbol" w:cs="Symbol" w:ascii="Symbol" w:hAnsi="Symbol"/>
          <w:i/>
          <w:sz w:val="18"/>
        </w:rPr>
        <w:sym w:font="Symbol" w:char="f0de"/>
      </w:r>
      <w:r>
        <w:rPr>
          <w:i/>
        </w:rPr>
        <w:t>Developed reliable analytical tools to capture and measure drivers in volatile trading regions.</w:t>
      </w:r>
    </w:p>
    <w:p>
      <w:pPr>
        <w:pStyle w:val="Normal"/>
        <w:ind w:start="180" w:end="0"/>
        <w:rPr/>
      </w:pPr>
      <w:r>
        <w:rPr>
          <w:b/>
          <w:sz w:val="22"/>
        </w:rPr>
        <w:t>•</w:t>
      </w:r>
      <w:r>
        <w:rPr>
          <w:b/>
          <w:sz w:val="19"/>
        </w:rPr>
        <w:tab/>
      </w:r>
      <w:r>
        <w:rPr>
          <w:b/>
        </w:rPr>
        <w:t>Understanding of congestion management in California PX and California ISO</w:t>
      </w:r>
    </w:p>
    <w:p>
      <w:pPr>
        <w:pStyle w:val="Normal"/>
        <w:ind w:firstLine="270" w:start="720" w:end="0"/>
        <w:rPr/>
      </w:pPr>
      <w:r>
        <w:rPr>
          <w:rFonts w:eastAsia="Symbol" w:cs="Symbol" w:ascii="Symbol" w:hAnsi="Symbol"/>
          <w:i/>
          <w:sz w:val="18"/>
        </w:rPr>
        <w:sym w:font="Symbol" w:char="f0de"/>
      </w:r>
      <w:r>
        <w:rPr>
          <w:i/>
        </w:rPr>
        <w:t>Developed strategy to capitalize on congestion opportunity in California markets.</w:t>
      </w:r>
    </w:p>
    <w:p>
      <w:pPr>
        <w:pStyle w:val="Normal"/>
        <w:ind w:firstLine="270" w:start="720" w:end="0"/>
        <w:rPr>
          <w:i/>
          <w:i/>
        </w:rPr>
      </w:pPr>
      <w:r>
        <w:rPr>
          <w:i/>
        </w:rPr>
      </w:r>
    </w:p>
    <w:p>
      <w:pPr>
        <w:pStyle w:val="PlainText"/>
        <w:rPr>
          <w:i/>
          <w:i/>
        </w:rPr>
      </w:pPr>
      <w:r>
        <w:rPr>
          <w:i/>
        </w:rPr>
      </w:r>
    </w:p>
    <w:p>
      <w:pPr>
        <w:pStyle w:val="PlainText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  <w:t xml:space="preserve">Experience:  </w:t>
      </w:r>
    </w:p>
    <w:p>
      <w:pPr>
        <w:pStyle w:val="BodyText2"/>
        <w:rPr>
          <w:sz w:val="24"/>
        </w:rPr>
      </w:pPr>
      <w:r>
        <w:rPr>
          <w:sz w:val="24"/>
        </w:rPr>
        <w:t>Calpine Corporation</w:t>
        <w:tab/>
        <w:tab/>
        <w:t>December 1999-Present</w:t>
        <w:tab/>
        <w:tab/>
        <w:t>Houston, TX.</w:t>
        <w:tab/>
      </w:r>
    </w:p>
    <w:p>
      <w:pPr>
        <w:pStyle w:val="PlainText"/>
        <w:ind w:start="1440" w:end="0"/>
        <w:rPr>
          <w:sz w:val="24"/>
        </w:rPr>
      </w:pPr>
      <w:r>
        <w:rPr>
          <w:sz w:val="24"/>
        </w:rPr>
      </w:r>
    </w:p>
    <w:p>
      <w:pPr>
        <w:pStyle w:val="PlainText"/>
        <w:ind w:hanging="630" w:start="1440" w:end="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Power Scheduler</w:t>
        <w:tab/>
        <w:tab/>
        <w:t>12/99-Present</w:t>
        <w:tab/>
        <w:tab/>
        <w:tab/>
        <w:tab/>
        <w:tab/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optimizing 400mw to 500mw hourly position within ERCOT.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Continuously discover economic dispatch of 410mw of power generation capacity on an hourly basis.</w:t>
      </w:r>
    </w:p>
    <w:p>
      <w:pPr>
        <w:pStyle w:val="PlainText"/>
        <w:numPr>
          <w:ilvl w:val="0"/>
          <w:numId w:val="7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Trade, schedule, and manage power flowing between SPP and ERCOT.</w:t>
      </w:r>
    </w:p>
    <w:p>
      <w:pPr>
        <w:pStyle w:val="PlainText"/>
        <w:rPr>
          <w:rFonts w:ascii="Times New Roman" w:hAnsi="Times New Roman" w:cs="Times New Roman"/>
          <w:b/>
          <w:sz w:val="24"/>
          <w:u w:val="single"/>
        </w:rPr>
      </w:pPr>
      <w:r>
        <w:rPr>
          <w:rFonts w:cs="Times New Roman" w:ascii="Times New Roman" w:hAnsi="Times New Roman"/>
          <w:b/>
          <w:sz w:val="24"/>
          <w:u w:val="single"/>
        </w:rPr>
      </w:r>
    </w:p>
    <w:p>
      <w:pPr>
        <w:pStyle w:val="BodyText2"/>
        <w:rPr>
          <w:sz w:val="24"/>
        </w:rPr>
      </w:pPr>
      <w:r>
        <w:rPr>
          <w:sz w:val="24"/>
        </w:rPr>
        <w:t>Dynegy Marketing and Trade</w:t>
        <w:tab/>
        <w:tab/>
        <w:t xml:space="preserve"> August 1997-December 1999 </w:t>
        <w:tab/>
        <w:tab/>
        <w:t>Houston, TX.</w:t>
        <w:tab/>
      </w:r>
    </w:p>
    <w:p>
      <w:pPr>
        <w:pStyle w:val="PlainText"/>
        <w:ind w:start="1440" w:end="0"/>
        <w:rPr>
          <w:sz w:val="24"/>
        </w:rPr>
      </w:pPr>
      <w:r>
        <w:rPr>
          <w:sz w:val="24"/>
        </w:rPr>
      </w:r>
    </w:p>
    <w:p>
      <w:pPr>
        <w:pStyle w:val="PlainText"/>
        <w:ind w:hanging="630" w:start="1440" w:end="0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Day Power Trader</w:t>
        <w:tab/>
        <w:tab/>
        <w:t>1/99-12/99</w:t>
        <w:tab/>
        <w:tab/>
        <w:tab/>
        <w:tab/>
        <w:tab/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Traded short-term physical power products and options positions using analysis of regional power market fundamentals.</w:t>
      </w:r>
    </w:p>
    <w:p>
      <w:pPr>
        <w:pStyle w:val="PlainText"/>
        <w:numPr>
          <w:ilvl w:val="0"/>
          <w:numId w:val="3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Confirmed power price trends using Aspen Graphics and LIM by analyzing technical studies along with market variables that drive power prices throughout the WSPP region.</w:t>
      </w:r>
    </w:p>
    <w:p>
      <w:pPr>
        <w:pStyle w:val="PlainText"/>
        <w:numPr>
          <w:ilvl w:val="0"/>
          <w:numId w:val="7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Developed and maintained hydraulic power generation forecasting model which consists of 19 major hydraulic dams in the Pacific Northwest US using weather projections, trends and regional drivers.</w:t>
      </w:r>
    </w:p>
    <w:p>
      <w:pPr>
        <w:pStyle w:val="PlainText"/>
        <w:numPr>
          <w:ilvl w:val="0"/>
          <w:numId w:val="8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Consulted with customers to determine their needs and priorities in optimizing the value of their generation assets.</w:t>
      </w:r>
    </w:p>
    <w:p>
      <w:pPr>
        <w:pStyle w:val="PlainText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ab/>
      </w: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  <w:b/>
          <w:sz w:val="22"/>
        </w:rPr>
        <w:t>Real-time Power Trader</w:t>
        <w:tab/>
        <w:t>6/98-1/99</w:t>
        <w:tab/>
        <w:t xml:space="preserve">            </w:t>
        <w:tab/>
        <w:tab/>
      </w:r>
    </w:p>
    <w:p>
      <w:pPr>
        <w:pStyle w:val="PlainText"/>
        <w:numPr>
          <w:ilvl w:val="0"/>
          <w:numId w:val="10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Coordinated and directed all real-time trading activities in the WSPP as the first hourly trader.</w:t>
      </w:r>
    </w:p>
    <w:p>
      <w:pPr>
        <w:pStyle w:val="PlainText"/>
        <w:numPr>
          <w:ilvl w:val="0"/>
          <w:numId w:val="5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Identified new real-time revenue opportunities and pioneered strategies in western power markets using both the California PX and the California ISO markets with crafty bid structures.</w:t>
      </w:r>
    </w:p>
    <w:p>
      <w:pPr>
        <w:pStyle w:val="PlainText"/>
        <w:numPr>
          <w:ilvl w:val="0"/>
          <w:numId w:val="10"/>
        </w:numPr>
        <w:tabs>
          <w:tab w:val="clear" w:pos="720"/>
          <w:tab w:val="left" w:pos="1440" w:leader="none"/>
        </w:tabs>
        <w:ind w:hanging="450" w:start="144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Executed daily operations of scheduling hourly ancillary services and power schedules with the California ISO and the California PX.</w:t>
      </w:r>
    </w:p>
    <w:p>
      <w:pPr>
        <w:pStyle w:val="PlainText"/>
        <w:numPr>
          <w:ilvl w:val="0"/>
          <w:numId w:val="6"/>
        </w:numPr>
        <w:tabs>
          <w:tab w:val="clear" w:pos="720"/>
          <w:tab w:val="left" w:pos="1440" w:leader="none"/>
        </w:tabs>
        <w:ind w:hanging="450" w:start="1440" w:end="0"/>
        <w:rPr/>
      </w:pPr>
      <w:r>
        <w:rPr>
          <w:rFonts w:cs="Times New Roman" w:ascii="Times New Roman" w:hAnsi="Times New Roman"/>
          <w:sz w:val="22"/>
        </w:rPr>
        <w:t>Established contracts and accounts for services with transmission owners, and actively moved power throughout the entire WSPP.</w:t>
      </w:r>
    </w:p>
    <w:p>
      <w:pPr>
        <w:pStyle w:val="PlainText"/>
        <w:rPr/>
      </w:pPr>
      <w:r>
        <w:rPr/>
      </w:r>
    </w:p>
    <w:p>
      <w:pPr>
        <w:pStyle w:val="PlainText"/>
        <w:rPr/>
      </w:pPr>
      <w:r>
        <w:rPr>
          <w:rFonts w:eastAsia="Courier New"/>
        </w:rPr>
        <w:t xml:space="preserve"> </w:t>
      </w:r>
      <w:r>
        <w:rPr/>
        <w:tab/>
        <w:t xml:space="preserve">  </w:t>
      </w:r>
      <w:r>
        <w:rPr>
          <w:rFonts w:cs="Times New Roman" w:ascii="Times New Roman" w:hAnsi="Times New Roman"/>
          <w:b/>
          <w:sz w:val="22"/>
        </w:rPr>
        <w:t>Power Scheduler</w:t>
        <w:tab/>
        <w:tab/>
        <w:t xml:space="preserve">8/97-6/98                             </w:t>
        <w:tab/>
        <w:tab/>
        <w:t xml:space="preserve">      </w:t>
      </w:r>
    </w:p>
    <w:p>
      <w:pPr>
        <w:pStyle w:val="PlainText"/>
        <w:numPr>
          <w:ilvl w:val="0"/>
          <w:numId w:val="9"/>
        </w:numPr>
        <w:tabs>
          <w:tab w:val="clear" w:pos="720"/>
          <w:tab w:val="left" w:pos="1440" w:leader="none"/>
        </w:tabs>
        <w:ind w:hanging="450" w:start="1440" w:end="0"/>
        <w:rPr/>
      </w:pPr>
      <w:r>
        <w:rPr>
          <w:rFonts w:cs="Times New Roman" w:ascii="Times New Roman" w:hAnsi="Times New Roman"/>
          <w:sz w:val="22"/>
        </w:rPr>
        <w:t>Coordinated and oversaw daily and monthly schedules in all NERC regions including WSCC, SERC, and SPP.</w:t>
      </w:r>
    </w:p>
    <w:p>
      <w:pPr>
        <w:pStyle w:val="PlainText"/>
        <w:numPr>
          <w:ilvl w:val="0"/>
          <w:numId w:val="4"/>
        </w:numPr>
        <w:tabs>
          <w:tab w:val="clear" w:pos="720"/>
          <w:tab w:val="left" w:pos="1440" w:leader="none"/>
        </w:tabs>
        <w:ind w:hanging="540" w:start="36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Consistently capitalized on real-time trading opportunity in SERC, SPP, ECAR, and ERCOT.</w:t>
      </w:r>
    </w:p>
    <w:p>
      <w:pPr>
        <w:pStyle w:val="PlainText"/>
        <w:ind w:start="360" w:end="0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rPr>
          <w:rFonts w:ascii="Times New Roman" w:hAnsi="Times New Roman" w:cs="Times New Roman"/>
          <w:b/>
          <w:sz w:val="22"/>
          <w:u w:val="single"/>
        </w:rPr>
      </w:pPr>
      <w:r>
        <w:rPr>
          <w:rFonts w:cs="Times New Roman" w:ascii="Times New Roman" w:hAnsi="Times New Roman"/>
          <w:b/>
          <w:sz w:val="22"/>
          <w:u w:val="single"/>
        </w:rPr>
        <w:t>Education</w:t>
      </w:r>
    </w:p>
    <w:p>
      <w:pPr>
        <w:pStyle w:val="PlainText"/>
        <w:rPr/>
      </w:pPr>
      <w:r>
        <w:rPr>
          <w:rFonts w:cs="Times New Roman" w:ascii="Times New Roman" w:hAnsi="Times New Roman"/>
          <w:sz w:val="22"/>
        </w:rPr>
        <w:t xml:space="preserve">        </w:t>
      </w:r>
      <w:r>
        <w:rPr>
          <w:rFonts w:cs="Times New Roman" w:ascii="Times New Roman" w:hAnsi="Times New Roman"/>
          <w:sz w:val="22"/>
        </w:rPr>
        <w:t xml:space="preserve">Louisiana State University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 xml:space="preserve">  Bachelor of Science, Finance, 1997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rFonts w:cs="Times New Roman" w:ascii="Times New Roman" w:hAnsi="Times New Roman"/>
          <w:sz w:val="22"/>
        </w:rPr>
        <w:t xml:space="preserve">  Baton Rouge, LA         </w:t>
      </w:r>
    </w:p>
    <w:p>
      <w:pPr>
        <w:pStyle w:val="PlainText"/>
        <w:rPr/>
      </w:pPr>
      <w:r>
        <w:rPr/>
      </w:r>
    </w:p>
    <w:p>
      <w:pPr>
        <w:pStyle w:val="PlainText"/>
        <w:jc w:val="center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  <w:t>References Available upon request</w:t>
      </w:r>
    </w:p>
    <w:sectPr>
      <w:type w:val="nextPage"/>
      <w:pgSz w:w="12240" w:h="15840"/>
      <w:pgMar w:left="1152" w:right="1152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Symbol">
    <w:charset w:val="02"/>
    <w:family w:val="auto"/>
    <w:pitch w:val="default"/>
  </w:font>
  <w:font w:name="Albertus Medium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3440" w:leader="none"/>
      </w:tabs>
      <w:outlineLvl w:val="2"/>
    </w:pPr>
    <w:rPr>
      <w:b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tabs>
        <w:tab w:val="clear" w:pos="720"/>
        <w:tab w:val="right" w:pos="3334" w:leader="none"/>
      </w:tabs>
      <w:jc w:val="center"/>
    </w:pPr>
    <w:rPr>
      <w:sz w:val="4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2">
    <w:name w:val="Body Text 2"/>
    <w:basedOn w:val="Normal"/>
    <w:qFormat/>
    <w:pPr>
      <w:widowControl w:val="false"/>
      <w:pBdr>
        <w:top w:val="single" w:sz="12" w:space="0" w:color="000000"/>
        <w:bottom w:val="single" w:sz="12" w:space="1" w:color="000000"/>
      </w:pBdr>
      <w:tabs>
        <w:tab w:val="clear" w:pos="720"/>
        <w:tab w:val="left" w:pos="3150" w:leader="none"/>
        <w:tab w:val="right" w:pos="6480" w:leader="none"/>
      </w:tabs>
    </w:pPr>
    <w:rPr>
      <w:b/>
      <w:i/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2000-06-08T12:38:00Z</dcterms:created>
  <dc:creator>PoweSpec Valued Customer</dc:creator>
  <dc:description/>
  <dc:language>en-CA</dc:language>
  <cp:lastModifiedBy>PoweSpec Valued Customer</cp:lastModifiedBy>
  <cp:lastPrinted>2000-06-08T10:09:00Z</cp:lastPrinted>
  <dcterms:modified xsi:type="dcterms:W3CDTF">2000-06-08T12:52:00Z</dcterms:modified>
  <cp:revision>5</cp:revision>
  <dc:subject/>
  <dc:title>                            Omari Dawson</dc:title>
</cp:coreProperties>
</file>