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Davis’ Views</w:t>
      </w:r>
    </w:p>
    <w:p>
      <w:pPr>
        <w:pStyle w:val="BodyText"/>
        <w:rPr/>
      </w:pPr>
      <w:r>
        <w:rPr/>
        <w:t>Governor Davis’ public statements and the one-on-one comments from his staff reveal several common themes we are likely to hear from him:</w:t>
      </w:r>
    </w:p>
    <w:p>
      <w:pPr>
        <w:pStyle w:val="Normal"/>
        <w:numPr>
          <w:ilvl w:val="0"/>
          <w:numId w:val="1"/>
        </w:numPr>
        <w:spacing w:lineRule="auto" w:line="360"/>
        <w:rPr>
          <w:sz w:val="22"/>
        </w:rPr>
      </w:pPr>
      <w:r>
        <w:rPr>
          <w:b/>
          <w:bCs/>
          <w:sz w:val="22"/>
        </w:rPr>
        <w:t>“</w:t>
      </w:r>
      <w:r>
        <w:rPr>
          <w:b/>
          <w:bCs/>
          <w:sz w:val="22"/>
        </w:rPr>
        <w:t>Generators are to blame”.</w:t>
      </w:r>
      <w:r>
        <w:rPr>
          <w:sz w:val="22"/>
        </w:rPr>
        <w:t xml:space="preserve">  Many of the generators currently operating in California acquired power plants from the state’s investor owned utilities during the divestiture period following the enactment of AB1890.  At the time, the prices received by the utilities were considered excessive – from 150%-300% of book value – and there was considerable concern in the investment community about whether Dynegy and the others would recover their costs.  (There was also considerable gloating in California about the high prices the old generators had fetched).  All of that is long forgotten.  Generators have far more than made back their original investment and are receiving prices as high as 8 or 9 times what the utilities received when they owned the facilities – a point which Davis repeatedly makes.  He and others in California also emphasize the record earnings reported by generation owners in the state.  These reports often point to California’s power situation as the primary reason for year-over-year earnings growth.  From Davis’ perspective, the sale of generation took away California regulators’ ability to control California’s destiny and the pricing behavior of the generators appears excessive and unsupportable.  Davis and other policymakers have continually called for restraint by the generators.  Generators have been pricing in accordance, presumably, with their opportunity costs – i.e. they have to decide whether to run the plants or take time to do necessary repairs and they have to decide whether to sell power in California or elsewhere in the power hungry West.  Many generators have argued that they sold much of their power forward (impliedly to us or other marketers).  Their arguments have somewhat broadened the group of culprits, in policymakers’ minds, to include “marketeers” as well.  To make matters worse, Enron is identified as one of the “dirty 13” – power suppliers who expressed concern about creditworthiness and therefore declined to sell power to the state’s institutions.</w:t>
      </w:r>
    </w:p>
    <w:p>
      <w:pPr>
        <w:pStyle w:val="Normal"/>
        <w:numPr>
          <w:ilvl w:val="1"/>
          <w:numId w:val="1"/>
        </w:numPr>
        <w:spacing w:lineRule="auto" w:line="360"/>
        <w:rPr>
          <w:sz w:val="22"/>
        </w:rPr>
      </w:pPr>
      <w:r>
        <w:rPr>
          <w:b/>
          <w:bCs/>
          <w:i/>
          <w:iCs/>
          <w:sz w:val="22"/>
        </w:rPr>
        <w:t xml:space="preserve">Response:  </w:t>
      </w:r>
      <w:r>
        <w:rPr>
          <w:i/>
          <w:iCs/>
          <w:sz w:val="22"/>
        </w:rPr>
        <w:t>Generators can be largely irrelevant if spot prices are less relevant.  The problem in California is a pattern of contracting that forces every electron through the spot market and therefor makes spot market price spikes exceedingly relevant.  If most of the commodity were  clearing through forward markets(as is the case in most markets), spot prices would be noteworthy only to those who found themselves out of balance on that particular day.  Case in point: In midwest markets in the summer of ’98 prices rose to $7500/MWh for brief periods.  Most of the commodity was purchased at much lower prices earlier so those prices affected less than one percent of the load.  The price spikes were noteworthy but hardly received the attention California does, because those prices were relevant primarily to market participants.  Two other things about the Midwest situation are worthy of note:  1) no price caps were ordered, new generation came on line for the following two summers and by summer of 2000 prices were back to normal levels; and 2) the primary “gouging generator” was a public power entity, TVA (like the private generators in the West, they responded to price signals and their own opportunity costs).</w:t>
      </w:r>
    </w:p>
    <w:p>
      <w:pPr>
        <w:pStyle w:val="Normal"/>
        <w:numPr>
          <w:ilvl w:val="0"/>
          <w:numId w:val="1"/>
        </w:numPr>
        <w:spacing w:lineRule="auto" w:line="360"/>
        <w:rPr>
          <w:sz w:val="22"/>
        </w:rPr>
      </w:pPr>
      <w:r>
        <w:rPr>
          <w:b/>
          <w:bCs/>
          <w:sz w:val="22"/>
        </w:rPr>
        <w:t>“</w:t>
      </w:r>
      <w:r>
        <w:rPr>
          <w:b/>
          <w:bCs/>
          <w:sz w:val="22"/>
        </w:rPr>
        <w:t xml:space="preserve">Sharing the Pain”.  </w:t>
      </w:r>
      <w:r>
        <w:rPr>
          <w:sz w:val="22"/>
        </w:rPr>
        <w:t>Davis is faced with a variety of unpalatable solutions.  He can either decide whose lights to shut off, let power prices fly up to market levels (and pass those prices on to consumers), or he can bankrupt the utilities.  He has focused on a “share the pain” approach.  He is unwilling to let utilities go bankrupt and unwilling to let consumers pay full market prices.  Ideally, he would like to see the utilities absorb some costs, flow modest rate increases through to consumers, and get refunds from generators and marketers.  So far, the investigations into generator and marketer behavior have revealed no compelling evidence of collusion and no basis for ordering refunds, much to California’s extreme frustration.  Instead, the Cal ISO market surveillance committee and the FERC have found the structure of the California market to blame (while also finding some “inexplicable” pricing behavior by sellers but not enough to merit refunds as yet).  The California Attorney General has initiated what promises to be a much more political investigation designed to find some basis for claiming generator and marketer misdeeds.  We are likely to hear much around the themes of “behaving responsibly” and “sharing the pain”.</w:t>
      </w:r>
    </w:p>
    <w:p>
      <w:pPr>
        <w:pStyle w:val="Normal"/>
        <w:numPr>
          <w:ilvl w:val="1"/>
          <w:numId w:val="1"/>
        </w:numPr>
        <w:spacing w:lineRule="auto" w:line="360"/>
        <w:rPr>
          <w:sz w:val="22"/>
        </w:rPr>
      </w:pPr>
      <w:r>
        <w:rPr>
          <w:b/>
          <w:bCs/>
          <w:i/>
          <w:iCs/>
          <w:sz w:val="22"/>
        </w:rPr>
        <w:t xml:space="preserve">Response:  </w:t>
      </w:r>
      <w:r>
        <w:rPr>
          <w:i/>
          <w:iCs/>
          <w:sz w:val="22"/>
        </w:rPr>
        <w:t>We have gained because EOL has increased our volumes throughout the world and across commodities.  Our volumes are up 60%.  We have been up and down in California, but since we are not a net generator we do not benefit from high prices.  We benefit from markets that work so that we can sell price protection to both consumers and producers.  One gain we have experienced from Califronia’s situation is that price risk management now has a high profile and customers are now seeking what we have to sell.  Unfortunately, problems with the western markets have reduced depth in the markets and limited what we can sell.</w:t>
      </w:r>
    </w:p>
    <w:p>
      <w:pPr>
        <w:pStyle w:val="Normal"/>
        <w:numPr>
          <w:ilvl w:val="0"/>
          <w:numId w:val="1"/>
        </w:numPr>
        <w:spacing w:lineRule="auto" w:line="360"/>
        <w:rPr>
          <w:sz w:val="22"/>
        </w:rPr>
      </w:pPr>
      <w:r>
        <w:rPr>
          <w:b/>
          <w:bCs/>
          <w:sz w:val="22"/>
        </w:rPr>
        <w:t>“</w:t>
      </w:r>
      <w:r>
        <w:rPr>
          <w:b/>
          <w:bCs/>
          <w:sz w:val="22"/>
        </w:rPr>
        <w:t>Deregulation has failed”.</w:t>
      </w:r>
      <w:r>
        <w:rPr/>
        <w:t xml:space="preserve"> The Governor said that President-elect Bush agreed with him that it is not wise to deregulate in a shortage situation.  While the exact nature of Davis’ proposed remedies is not known, reregulation is clearly on the table.  This might include state sponsored generation projects, conservation programs and the like, though he doesn’t seem to be talking seriously about “nationalizing” the industry.  He clearly does not see true deregulation (which California did not have in the first place) as a way out of his current difficulties.  He does emphasize that he is “pro-business”, saying at one point that he has “as many republican genes as democrat genes.”  He supports deregulation and market forces in principle but is unwilling to burn political capital to support that agenda.</w:t>
      </w:r>
    </w:p>
    <w:p>
      <w:pPr>
        <w:pStyle w:val="Normal"/>
        <w:numPr>
          <w:ilvl w:val="1"/>
          <w:numId w:val="1"/>
        </w:numPr>
        <w:spacing w:lineRule="auto" w:line="360"/>
        <w:rPr>
          <w:sz w:val="22"/>
        </w:rPr>
      </w:pPr>
      <w:r>
        <w:rPr>
          <w:b/>
          <w:bCs/>
          <w:i/>
          <w:iCs/>
          <w:sz w:val="22"/>
        </w:rPr>
        <w:t xml:space="preserve">Response:  </w:t>
      </w:r>
      <w:r>
        <w:rPr>
          <w:i/>
          <w:iCs/>
          <w:sz w:val="22"/>
        </w:rPr>
        <w:t>Deregulation has yet to be tried in the state.  The problems in the state are directly linked to regulatory barriers, not deregulation.  A surprising and ultimately winning approach would be to embrace competition unequivocally and to prevent utilities from compromising the program this time.</w:t>
      </w:r>
    </w:p>
    <w:p>
      <w:pPr>
        <w:pStyle w:val="Normal"/>
        <w:numPr>
          <w:ilvl w:val="0"/>
          <w:numId w:val="1"/>
        </w:numPr>
        <w:spacing w:lineRule="auto" w:line="360"/>
        <w:rPr>
          <w:sz w:val="22"/>
        </w:rPr>
      </w:pPr>
      <w:r>
        <w:rPr>
          <w:b/>
          <w:bCs/>
          <w:sz w:val="22"/>
        </w:rPr>
        <w:t>“</w:t>
      </w:r>
      <w:r>
        <w:rPr>
          <w:b/>
          <w:bCs/>
          <w:sz w:val="22"/>
        </w:rPr>
        <w:t>This is not my fault, but I intend to fix it.</w:t>
      </w:r>
      <w:r>
        <w:rPr/>
        <w:t>” Davis points out that the Wilson administration presided over deregulation and in fact Wilson did make deregulation a centerpiece of his policy agenda.  Lost in this analysis is that a Democrat, Sen. Steve Peace, was the primary architect and that AB1890 was passed unanimously (and therefore necessarily included the votes of every democrat and republican who showed up that day).  It was apparent to Davis from the beginning that he would have to address the issue and that blaming Wilson would not get him far.  If anything, the media has cranked up its call for Davis to show real leadership on the issue.</w:t>
      </w:r>
    </w:p>
    <w:p>
      <w:pPr>
        <w:pStyle w:val="Normal"/>
        <w:numPr>
          <w:ilvl w:val="0"/>
          <w:numId w:val="1"/>
        </w:numPr>
        <w:spacing w:lineRule="auto" w:line="360"/>
        <w:rPr>
          <w:sz w:val="22"/>
        </w:rPr>
      </w:pPr>
      <w:r>
        <w:rPr>
          <w:b/>
          <w:bCs/>
          <w:sz w:val="22"/>
        </w:rPr>
        <w:t>“</w:t>
      </w:r>
      <w:r>
        <w:rPr>
          <w:b/>
          <w:bCs/>
          <w:sz w:val="22"/>
        </w:rPr>
        <w:t>If the public and private sectors don’t find a solution, then the initiative process will impose one (and it won’t be good).”</w:t>
      </w:r>
      <w:r>
        <w:rPr/>
        <w:t xml:space="preserve">  Far left consumer advocates have proposed the nationalization of the industry and will likely seek to put such an initiative on the ballot.  They waged a largely unfunded initiative battle against AB1890, which was defeated handily with millions of dollars of utility money.  While Davis does not want an initiative fight, he has said he would support it if a solution were not worked out.</w:t>
      </w:r>
    </w:p>
    <w:p>
      <w:pPr>
        <w:pStyle w:val="Normal"/>
        <w:numPr>
          <w:ilvl w:val="0"/>
          <w:numId w:val="1"/>
        </w:numPr>
        <w:spacing w:lineRule="auto" w:line="360"/>
        <w:rPr>
          <w:sz w:val="22"/>
        </w:rPr>
      </w:pPr>
      <w:r>
        <w:rPr>
          <w:b/>
          <w:bCs/>
          <w:sz w:val="22"/>
        </w:rPr>
        <w:t>“</w:t>
      </w:r>
      <w:r>
        <w:rPr>
          <w:b/>
          <w:bCs/>
          <w:sz w:val="22"/>
        </w:rPr>
        <w:t xml:space="preserve">Federal regulators need to help out.” </w:t>
      </w:r>
      <w:r>
        <w:rPr>
          <w:sz w:val="22"/>
        </w:rPr>
        <w:t xml:space="preserve"> Davis continues to believe that region-wide price caps are a necessary part of an interim solution.  We have been vehement opponents and he may press for a change in views.  He also said in an interview with CNN today that he expects to take full advantage of Bush’s presumable interest in helping California (as a precursor to seeking victory in the state in ’04).  He wants Bush to help out with the FERC – i.e. change its current unwillingness to go further with price caps.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bCs/>
      <w:sz w:val="22"/>
    </w:rPr>
  </w:style>
  <w:style w:type="paragraph" w:styleId="BodyText">
    <w:name w:val="Body Text"/>
    <w:basedOn w:val="Normal"/>
    <w:pPr>
      <w:spacing w:lineRule="auto" w:line="36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2000-12-27T18:34:00Z</dcterms:created>
  <dc:creator>skean</dc:creator>
  <dc:description/>
  <dc:language>en-CA</dc:language>
  <cp:lastModifiedBy>skean</cp:lastModifiedBy>
  <cp:lastPrinted>2000-12-28T08:44:00Z</cp:lastPrinted>
  <dcterms:modified xsi:type="dcterms:W3CDTF">2000-12-28T12:14:00Z</dcterms:modified>
  <cp:revision>3</cp:revision>
  <dc:subject/>
  <dc:title>Davis’ Views</dc:title>
</cp:coreProperties>
</file>