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b/>
          <w:bCs/>
          <w:caps/>
          <w:sz w:val="24"/>
        </w:rPr>
      </w:pPr>
      <w:r>
        <w:rPr>
          <w:rFonts w:cs="Arial" w:ascii="Arial" w:hAnsi="Arial"/>
          <w:b/>
          <w:bCs/>
          <w:caps/>
          <w:sz w:val="24"/>
        </w:rPr>
        <w:t>David B. Palumbo</w:t>
      </w:r>
    </w:p>
    <w:p>
      <w:pPr>
        <w:pStyle w:val="Normal"/>
        <w:rPr>
          <w:b/>
          <w:bCs/>
        </w:rPr>
      </w:pPr>
      <w:r>
        <w:rPr>
          <w:b/>
          <w:bCs/>
        </w:rPr>
        <w:t>VP of Learning Services</w:t>
      </w:r>
    </w:p>
    <w:p>
      <w:pPr>
        <w:pStyle w:val="Normal"/>
        <w:rPr>
          <w:b/>
          <w:bCs/>
        </w:rPr>
      </w:pPr>
      <w:r>
        <w:rPr>
          <w:b/>
          <w:bCs/>
        </w:rPr>
        <w:t>HumanCode/Sapient Corp.</w:t>
      </w:r>
    </w:p>
    <w:p>
      <w:pPr>
        <w:pStyle w:val="Normal"/>
        <w:rPr>
          <w:b/>
          <w:bCs/>
        </w:rPr>
      </w:pPr>
      <w:r>
        <w:rPr>
          <w:b/>
          <w:bCs/>
        </w:rPr>
        <w:t>Austin, TX</w:t>
      </w:r>
    </w:p>
    <w:p>
      <w:pPr>
        <w:pStyle w:val="Normal"/>
        <w:rPr/>
      </w:pPr>
      <w:r>
        <w:rPr/>
      </w:r>
    </w:p>
    <w:p>
      <w:pPr>
        <w:pStyle w:val="Normal"/>
        <w:rPr>
          <w:rFonts w:ascii="Arial" w:hAnsi="Arial" w:cs="Arial"/>
          <w:b/>
          <w:bCs/>
        </w:rPr>
      </w:pPr>
      <w:r>
        <w:rPr>
          <w:rFonts w:cs="Arial" w:ascii="Arial" w:hAnsi="Arial"/>
          <w:b/>
          <w:bCs/>
        </w:rPr>
        <w:t>A Brief Bio</w:t>
      </w:r>
    </w:p>
    <w:p>
      <w:pPr>
        <w:sectPr>
          <w:type w:val="nextPage"/>
          <w:pgSz w:w="12240" w:h="15840"/>
          <w:pgMar w:left="720" w:right="720" w:gutter="0" w:header="0" w:top="720" w:footer="0" w:bottom="720"/>
          <w:pgBorders w:display="allPages" w:offsetFrom="text">
            <w:left w:val="single" w:sz="4" w:space="28" w:color="000000"/>
          </w:pgBorders>
          <w:pgNumType w:fmt="decimal"/>
          <w:formProt w:val="false"/>
          <w:textDirection w:val="lrTb"/>
          <w:docGrid w:type="default" w:linePitch="360" w:charSpace="0"/>
        </w:sectPr>
      </w:pPr>
    </w:p>
    <w:p>
      <w:pPr>
        <w:pStyle w:val="Normal"/>
        <w:ind w:end="1620"/>
        <w:rPr>
          <w:rFonts w:ascii="Arial" w:hAnsi="Arial" w:cs="Arial"/>
          <w:b/>
          <w:bCs/>
          <w:sz w:val="20"/>
        </w:rPr>
      </w:pPr>
      <w:r>
        <w:rPr>
          <w:rFonts w:cs="Arial" w:ascii="Arial" w:hAnsi="Arial"/>
          <w:b/>
          <w:bCs/>
          <w:sz w:val="20"/>
        </w:rPr>
      </w:r>
    </w:p>
    <w:p>
      <w:pPr>
        <w:pStyle w:val="BodyText"/>
        <w:rPr>
          <w:rFonts w:ascii="Times New Roman" w:hAnsi="Times New Roman" w:cs="Times New Roman"/>
        </w:rPr>
      </w:pPr>
      <w:r>
        <w:rPr>
          <w:rFonts w:cs="Times New Roman" w:ascii="Times New Roman" w:hAnsi="Times New Roman"/>
        </w:rPr>
        <w:t>Quote to Live By:</w:t>
      </w:r>
    </w:p>
    <w:p>
      <w:pPr>
        <w:pStyle w:val="Normal"/>
        <w:ind w:end="1620"/>
        <w:rPr>
          <w:sz w:val="20"/>
        </w:rPr>
      </w:pPr>
      <w:r>
        <w:rPr>
          <w:sz w:val="20"/>
        </w:rPr>
        <w:t>“</w:t>
      </w:r>
      <w:r>
        <w:rPr>
          <w:sz w:val="20"/>
        </w:rPr>
        <w:t>We choose to go to the Moon in this decade and do the other things, not because they are easy, but because they are hard…”</w:t>
      </w:r>
    </w:p>
    <w:p>
      <w:pPr>
        <w:pStyle w:val="Normal"/>
        <w:ind w:end="1620"/>
        <w:rPr>
          <w:sz w:val="20"/>
        </w:rPr>
      </w:pPr>
      <w:r>
        <w:rPr>
          <w:sz w:val="20"/>
        </w:rPr>
        <w:t>President John F. Kennedy, Speech at Rice University, September 12, 1962</w:t>
      </w:r>
    </w:p>
    <w:p>
      <w:pPr>
        <w:pStyle w:val="Normal"/>
        <w:tabs>
          <w:tab w:val="clear" w:pos="720"/>
          <w:tab w:val="left" w:pos="2700" w:leader="none"/>
        </w:tabs>
        <w:ind w:end="360"/>
        <w:rPr>
          <w:sz w:val="20"/>
        </w:rPr>
      </w:pPr>
      <w:r>
        <w:rPr>
          <w:sz w:val="20"/>
        </w:rPr>
      </w:r>
    </w:p>
    <w:p>
      <w:pPr>
        <w:pStyle w:val="Normal"/>
        <w:ind w:end="1620"/>
        <w:rPr>
          <w:sz w:val="20"/>
        </w:rPr>
      </w:pPr>
      <w:r>
        <w:rPr>
          <w:b/>
          <w:bCs/>
          <w:sz w:val="20"/>
        </w:rPr>
        <w:t>Most Unexpected Talent:</w:t>
      </w:r>
    </w:p>
    <w:p>
      <w:pPr>
        <w:pStyle w:val="Normal"/>
        <w:ind w:end="1620"/>
        <w:rPr>
          <w:sz w:val="20"/>
        </w:rPr>
      </w:pPr>
      <w:r>
        <w:rPr>
          <w:sz w:val="20"/>
        </w:rPr>
        <w:t>“</w:t>
      </w:r>
      <w:r>
        <w:rPr>
          <w:sz w:val="20"/>
        </w:rPr>
        <w:t>To discover that I’m better at the business of learning than I am at the teaching of learning.”</w:t>
      </w:r>
    </w:p>
    <w:p>
      <w:pPr>
        <w:pStyle w:val="Normal"/>
        <w:ind w:end="1620"/>
        <w:rPr>
          <w:sz w:val="20"/>
        </w:rPr>
      </w:pPr>
      <w:r>
        <w:rPr>
          <w:sz w:val="20"/>
        </w:rPr>
      </w:r>
    </w:p>
    <w:p>
      <w:pPr>
        <w:pStyle w:val="BodyText"/>
        <w:rPr>
          <w:rFonts w:ascii="Times New Roman" w:hAnsi="Times New Roman" w:cs="Times New Roman"/>
        </w:rPr>
      </w:pPr>
      <w:r>
        <w:rPr>
          <w:rFonts w:cs="Times New Roman" w:ascii="Times New Roman" w:hAnsi="Times New Roman"/>
        </w:rPr>
        <w:t>Best Accidental Career Decision:</w:t>
      </w:r>
    </w:p>
    <w:p>
      <w:pPr>
        <w:pStyle w:val="Normal"/>
        <w:ind w:end="1620"/>
        <w:rPr>
          <w:sz w:val="20"/>
        </w:rPr>
      </w:pPr>
      <w:r>
        <w:rPr>
          <w:sz w:val="20"/>
        </w:rPr>
        <w:t xml:space="preserve">Teaching in a West Virginia High School. I found out how much dirt you have to get under your fingernails to create truly </w:t>
      </w:r>
    </w:p>
    <w:p>
      <w:pPr>
        <w:pStyle w:val="Normal"/>
        <w:ind w:end="1440"/>
        <w:rPr>
          <w:sz w:val="20"/>
        </w:rPr>
      </w:pPr>
      <w:r>
        <w:rPr>
          <w:sz w:val="20"/>
        </w:rPr>
        <w:t>spectacular learning environments.</w:t>
      </w:r>
    </w:p>
    <w:p>
      <w:pPr>
        <w:pStyle w:val="Normal"/>
        <w:ind w:end="1620"/>
        <w:rPr>
          <w:sz w:val="20"/>
        </w:rPr>
      </w:pPr>
      <w:r>
        <w:rPr>
          <w:sz w:val="20"/>
        </w:rPr>
      </w:r>
    </w:p>
    <w:p>
      <w:pPr>
        <w:pStyle w:val="BodyText"/>
        <w:rPr>
          <w:rFonts w:ascii="Times New Roman" w:hAnsi="Times New Roman" w:cs="Times New Roman"/>
        </w:rPr>
      </w:pPr>
      <w:r>
        <w:rPr>
          <w:rFonts w:cs="Times New Roman" w:ascii="Times New Roman" w:hAnsi="Times New Roman"/>
        </w:rPr>
        <w:t>Favorite Personal Insight:</w:t>
      </w:r>
    </w:p>
    <w:p>
      <w:pPr>
        <w:pStyle w:val="Normal"/>
        <w:ind w:end="1620"/>
        <w:rPr>
          <w:sz w:val="20"/>
        </w:rPr>
      </w:pPr>
      <w:r>
        <w:rPr>
          <w:sz w:val="20"/>
        </w:rPr>
        <w:t xml:space="preserve">The future rests on how we learn. </w:t>
      </w:r>
    </w:p>
    <w:p>
      <w:pPr>
        <w:pStyle w:val="Normal"/>
        <w:ind w:end="1620"/>
        <w:rPr>
          <w:sz w:val="20"/>
        </w:rPr>
      </w:pPr>
      <w:r>
        <w:rPr>
          <w:sz w:val="20"/>
        </w:rPr>
        <w:t>Success in all parts of our lives can never rise above our ability to learn and creatively apply that learning.</w:t>
      </w:r>
    </w:p>
    <w:p>
      <w:pPr>
        <w:pStyle w:val="Normal"/>
        <w:ind w:end="1620"/>
        <w:rPr>
          <w:sz w:val="20"/>
        </w:rPr>
      </w:pPr>
      <w:r>
        <w:rPr>
          <w:sz w:val="20"/>
        </w:rPr>
      </w:r>
    </w:p>
    <w:p>
      <w:pPr>
        <w:pStyle w:val="BodyText"/>
        <w:rPr>
          <w:rFonts w:ascii="Times New Roman" w:hAnsi="Times New Roman" w:cs="Times New Roman"/>
        </w:rPr>
      </w:pPr>
      <w:r>
        <w:rPr>
          <w:rFonts w:cs="Times New Roman" w:ascii="Times New Roman" w:hAnsi="Times New Roman"/>
        </w:rPr>
        <w:t>Teacher that changed my Life:</w:t>
      </w:r>
    </w:p>
    <w:p>
      <w:pPr>
        <w:pStyle w:val="Normal"/>
        <w:ind w:end="1620"/>
        <w:rPr>
          <w:sz w:val="20"/>
        </w:rPr>
      </w:pPr>
      <w:r>
        <w:rPr>
          <w:sz w:val="20"/>
        </w:rPr>
        <w:t>Dr. Elliot Soloway,  The University of Michigan.</w:t>
      </w:r>
    </w:p>
    <w:p>
      <w:pPr>
        <w:pStyle w:val="Normal"/>
        <w:ind w:end="1620"/>
        <w:rPr>
          <w:sz w:val="20"/>
        </w:rPr>
      </w:pPr>
      <w:r>
        <w:rPr>
          <w:sz w:val="20"/>
        </w:rPr>
        <w:t>He taught me the importance of</w:t>
      </w:r>
    </w:p>
    <w:p>
      <w:pPr>
        <w:pStyle w:val="Normal"/>
        <w:ind w:end="1620"/>
        <w:rPr>
          <w:sz w:val="20"/>
        </w:rPr>
      </w:pPr>
      <w:r>
        <w:rPr>
          <w:sz w:val="20"/>
        </w:rPr>
        <w:t>passion and compassion in doing</w:t>
      </w:r>
    </w:p>
    <w:p>
      <w:pPr>
        <w:pStyle w:val="Normal"/>
        <w:ind w:end="1620"/>
        <w:rPr>
          <w:sz w:val="20"/>
        </w:rPr>
      </w:pPr>
      <w:r>
        <w:rPr>
          <w:sz w:val="20"/>
        </w:rPr>
        <w:t>anything you care about.</w:t>
      </w:r>
    </w:p>
    <w:p>
      <w:pPr>
        <w:pStyle w:val="Normal"/>
        <w:ind w:end="1620"/>
        <w:rPr>
          <w:sz w:val="20"/>
        </w:rPr>
      </w:pPr>
      <w:r>
        <w:rPr>
          <w:sz w:val="20"/>
        </w:rPr>
      </w:r>
    </w:p>
    <w:p>
      <w:pPr>
        <w:pStyle w:val="BodyText"/>
        <w:rPr>
          <w:rFonts w:ascii="Times New Roman" w:hAnsi="Times New Roman" w:cs="Times New Roman"/>
        </w:rPr>
      </w:pPr>
      <w:r>
        <w:rPr>
          <w:rFonts w:cs="Times New Roman" w:ascii="Times New Roman" w:hAnsi="Times New Roman"/>
        </w:rPr>
        <w:t>Mentor Worth Mentioning:</w:t>
      </w:r>
    </w:p>
    <w:p>
      <w:pPr>
        <w:pStyle w:val="Normal"/>
        <w:ind w:end="1620"/>
        <w:rPr>
          <w:sz w:val="20"/>
        </w:rPr>
      </w:pPr>
      <w:r>
        <w:rPr>
          <w:sz w:val="20"/>
        </w:rPr>
        <w:t>Dr. Milton Glick, Senior Vice President and Provost</w:t>
      </w:r>
    </w:p>
    <w:p>
      <w:pPr>
        <w:pStyle w:val="Normal"/>
        <w:ind w:end="1620"/>
        <w:rPr>
          <w:sz w:val="20"/>
        </w:rPr>
      </w:pPr>
      <w:r>
        <w:rPr>
          <w:sz w:val="20"/>
        </w:rPr>
        <w:t>Arizona State University</w:t>
      </w:r>
    </w:p>
    <w:p>
      <w:pPr>
        <w:pStyle w:val="Normal"/>
        <w:ind w:end="1620"/>
        <w:rPr/>
      </w:pPr>
      <w:r>
        <w:rPr>
          <w:sz w:val="20"/>
        </w:rPr>
        <w:t>Who taught me that Thomas Jefferson’s idea of a meritocracy, where hard work and ability pay off, is still alive and kicking in the 21</w:t>
      </w:r>
      <w:r>
        <w:rPr>
          <w:sz w:val="20"/>
          <w:vertAlign w:val="superscript"/>
        </w:rPr>
        <w:t>st</w:t>
      </w:r>
      <w:r>
        <w:rPr>
          <w:sz w:val="20"/>
        </w:rPr>
        <w:t xml:space="preserve"> century, even if you aren’t the tallest player on the team.</w:t>
      </w:r>
    </w:p>
    <w:p>
      <w:pPr>
        <w:pStyle w:val="Normal"/>
        <w:ind w:end="1620"/>
        <w:rPr>
          <w:sz w:val="20"/>
        </w:rPr>
      </w:pPr>
      <w:r>
        <w:rPr>
          <w:sz w:val="20"/>
        </w:rPr>
      </w:r>
    </w:p>
    <w:p>
      <w:pPr>
        <w:pStyle w:val="BodyText"/>
        <w:rPr>
          <w:rFonts w:ascii="Times New Roman" w:hAnsi="Times New Roman" w:cs="Times New Roman"/>
        </w:rPr>
      </w:pPr>
      <w:r>
        <w:rPr>
          <w:rFonts w:cs="Times New Roman" w:ascii="Times New Roman" w:hAnsi="Times New Roman"/>
        </w:rPr>
        <w:t>Best Advice I’ve Received:</w:t>
      </w:r>
    </w:p>
    <w:p>
      <w:pPr>
        <w:pStyle w:val="Normal"/>
        <w:ind w:end="1620"/>
        <w:rPr>
          <w:sz w:val="20"/>
        </w:rPr>
      </w:pPr>
      <w:r>
        <w:rPr>
          <w:sz w:val="20"/>
        </w:rPr>
        <w:t>Only amateurs take it personally.</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BodyTextIndent"/>
        <w:ind w:hanging="0" w:start="0" w:end="718"/>
        <w:jc w:val="both"/>
        <w:rPr>
          <w:sz w:val="20"/>
        </w:rPr>
      </w:pPr>
      <w:r>
        <w:rPr>
          <w:sz w:val="20"/>
        </w:rPr>
        <w:t>If your first contact with David Palumbo is an accidental encounter during one of his high-energy presentations, you might size him up as a coach of a National Championship football team. Another Steve Spurier or Bobby Bowden or someone along that line. And you’d be partially right. David is a rare mix of thinker, doer and impassioned evangelist. A sidelines pacing, decisive leader whose playing field is not a court, or gridiron or ring. It is, instead, the equally competitive fields of education and technology. David has taken his impeccable academic credentials, mixed them with some vibrant forays into the technology business and coalesced all of it into a stunning manifesto on the future of learning.</w:t>
      </w:r>
    </w:p>
    <w:p>
      <w:pPr>
        <w:pStyle w:val="Normal"/>
        <w:ind w:end="718"/>
        <w:jc w:val="both"/>
        <w:rPr>
          <w:sz w:val="20"/>
        </w:rPr>
      </w:pPr>
      <w:r>
        <w:rPr>
          <w:sz w:val="20"/>
        </w:rPr>
      </w:r>
    </w:p>
    <w:p>
      <w:pPr>
        <w:pStyle w:val="Normal"/>
        <w:ind w:end="718"/>
        <w:jc w:val="both"/>
        <w:rPr>
          <w:sz w:val="20"/>
        </w:rPr>
      </w:pPr>
      <w:r>
        <w:rPr>
          <w:sz w:val="20"/>
        </w:rPr>
        <w:t>As might be expected, David is a tornado racing across the wide, flat expanse of current educational theories and ideologies. As Chief Learning Officer and Vice President of Sapient’s Learning Services Practice, David is charged with creating nothing less than spectacular learning environments.  This is a task that he relishes. David is the prime architect of a cutting-edge process – Learning Code – that lets technology deliver on its promise of teaching anyone, at any time and anywhere at a high level of excellence. He has built advanced learning systems for Fortune 500 companies, major educational institutions as well as for emerging companies and experimental schools. These have included such well known names as: NASA, Disney Interactive, The Discovery Channel, National Geographic, Knowledge Universe, Motorola, Halliburton, Mattel, Dell, Schlumberger and Harcourt Publishing.</w:t>
      </w:r>
    </w:p>
    <w:p>
      <w:pPr>
        <w:pStyle w:val="Normal"/>
        <w:ind w:end="718"/>
        <w:jc w:val="both"/>
        <w:rPr>
          <w:sz w:val="20"/>
        </w:rPr>
      </w:pPr>
      <w:r>
        <w:rPr>
          <w:sz w:val="20"/>
        </w:rPr>
      </w:r>
    </w:p>
    <w:p>
      <w:pPr>
        <w:pStyle w:val="BodyText2"/>
        <w:jc w:val="both"/>
        <w:rPr>
          <w:rFonts w:ascii="Times New Roman" w:hAnsi="Times New Roman" w:cs="Times New Roman"/>
          <w:sz w:val="20"/>
        </w:rPr>
      </w:pPr>
      <w:r>
        <w:rPr>
          <w:rFonts w:cs="Times New Roman" w:ascii="Times New Roman" w:hAnsi="Times New Roman"/>
          <w:sz w:val="20"/>
        </w:rPr>
        <w:t>Prior to his shift into mainstream, free enterprise activities, David served as Chair of the Instructional Technology Department and Director of the Advanced Knowledge Transfer Laboratory of The University of Houston – Clear Lake. He is the author of over 40 scholarly articles and 100 international presentations. David holds a Master’s and doctoral degree in educational psychology and instructional technology. This background has uniquely prepared him to take head on the challenges of merging the technology of learning with the human capacity for learning. A territory that propagandist from both sides all too often try to ignore.</w:t>
      </w:r>
    </w:p>
    <w:p>
      <w:pPr>
        <w:pStyle w:val="Normal"/>
        <w:autoSpaceDE w:val="false"/>
        <w:rPr>
          <w:rFonts w:ascii="Times New Roman" w:hAnsi="Times New Roman" w:cs="Times New Roman"/>
          <w:sz w:val="20"/>
        </w:rPr>
      </w:pPr>
      <w:r>
        <w:rPr>
          <w:rFonts w:cs="Times New Roman"/>
          <w:sz w:val="20"/>
        </w:rPr>
      </w:r>
    </w:p>
    <w:p>
      <w:pPr>
        <w:pStyle w:val="Normal"/>
        <w:autoSpaceDE w:val="false"/>
        <w:rPr>
          <w:rFonts w:ascii="Arial" w:hAnsi="Arial" w:cs="Arial"/>
          <w:b/>
          <w:bCs/>
        </w:rPr>
      </w:pPr>
      <w:r>
        <w:rPr>
          <w:rFonts w:cs="Arial" w:ascii="Arial" w:hAnsi="Arial"/>
          <w:b/>
          <w:bCs/>
        </w:rPr>
        <w:t>Views on Business Education and the New Economy</w:t>
      </w:r>
    </w:p>
    <w:p>
      <w:pPr>
        <w:pStyle w:val="Normal"/>
        <w:autoSpaceDE w:val="false"/>
        <w:rPr>
          <w:rFonts w:ascii="Arial" w:hAnsi="Arial" w:cs="Arial"/>
          <w:b/>
          <w:bCs/>
          <w:sz w:val="20"/>
        </w:rPr>
      </w:pPr>
      <w:r>
        <w:rPr>
          <w:rFonts w:cs="Arial" w:ascii="Arial" w:hAnsi="Arial"/>
          <w:b/>
          <w:bCs/>
          <w:sz w:val="20"/>
        </w:rPr>
      </w:r>
    </w:p>
    <w:p>
      <w:pPr>
        <w:pStyle w:val="Normal"/>
        <w:autoSpaceDE w:val="false"/>
        <w:ind w:end="718"/>
        <w:jc w:val="both"/>
        <w:rPr>
          <w:sz w:val="20"/>
          <w:szCs w:val="16"/>
        </w:rPr>
      </w:pPr>
      <w:r>
        <w:rPr>
          <w:sz w:val="20"/>
          <w:szCs w:val="16"/>
        </w:rPr>
        <w:t>I see businesses developing knowledge utilities where they gain a significant competitive advantage by using their increasingly digital and networked environment to:</w:t>
      </w:r>
    </w:p>
    <w:p>
      <w:pPr>
        <w:pStyle w:val="Normal"/>
        <w:autoSpaceDE w:val="false"/>
        <w:ind w:end="718"/>
        <w:jc w:val="both"/>
        <w:rPr>
          <w:sz w:val="20"/>
          <w:szCs w:val="16"/>
        </w:rPr>
      </w:pPr>
      <w:r>
        <w:rPr>
          <w:sz w:val="20"/>
          <w:szCs w:val="16"/>
        </w:rPr>
      </w:r>
    </w:p>
    <w:p>
      <w:pPr>
        <w:pStyle w:val="Normal"/>
        <w:numPr>
          <w:ilvl w:val="0"/>
          <w:numId w:val="2"/>
        </w:numPr>
        <w:autoSpaceDE w:val="false"/>
        <w:ind w:hanging="360" w:start="360" w:end="718"/>
        <w:jc w:val="both"/>
        <w:rPr>
          <w:color w:val="000000"/>
          <w:sz w:val="20"/>
          <w:szCs w:val="16"/>
        </w:rPr>
      </w:pPr>
      <w:r>
        <w:rPr>
          <w:color w:val="000000"/>
          <w:sz w:val="20"/>
          <w:szCs w:val="16"/>
        </w:rPr>
        <w:t>Retain and retrain a skilled workforce</w:t>
      </w:r>
    </w:p>
    <w:p>
      <w:pPr>
        <w:pStyle w:val="Normal"/>
        <w:numPr>
          <w:ilvl w:val="0"/>
          <w:numId w:val="2"/>
        </w:numPr>
        <w:autoSpaceDE w:val="false"/>
        <w:ind w:hanging="360" w:start="360" w:end="718"/>
        <w:jc w:val="both"/>
        <w:rPr>
          <w:color w:val="000000"/>
          <w:sz w:val="20"/>
          <w:szCs w:val="16"/>
        </w:rPr>
      </w:pPr>
      <w:r>
        <w:rPr>
          <w:color w:val="000000"/>
          <w:sz w:val="20"/>
          <w:szCs w:val="16"/>
        </w:rPr>
        <w:t xml:space="preserve">Reduce the overall expenditures associated with workforce development </w:t>
      </w:r>
    </w:p>
    <w:p>
      <w:pPr>
        <w:pStyle w:val="Normal"/>
        <w:numPr>
          <w:ilvl w:val="0"/>
          <w:numId w:val="2"/>
        </w:numPr>
        <w:autoSpaceDE w:val="false"/>
        <w:ind w:hanging="360" w:start="360" w:end="718"/>
        <w:jc w:val="both"/>
        <w:rPr>
          <w:color w:val="000000"/>
          <w:sz w:val="20"/>
          <w:szCs w:val="16"/>
        </w:rPr>
      </w:pPr>
      <w:r>
        <w:rPr>
          <w:color w:val="000000"/>
          <w:sz w:val="20"/>
          <w:szCs w:val="16"/>
        </w:rPr>
        <w:t xml:space="preserve">Increase learner performance driving to operational efficiencies </w:t>
      </w:r>
    </w:p>
    <w:p>
      <w:pPr>
        <w:pStyle w:val="Normal"/>
        <w:numPr>
          <w:ilvl w:val="0"/>
          <w:numId w:val="2"/>
        </w:numPr>
        <w:autoSpaceDE w:val="false"/>
        <w:ind w:hanging="360" w:start="360" w:end="718"/>
        <w:jc w:val="both"/>
        <w:rPr>
          <w:color w:val="000000"/>
          <w:sz w:val="20"/>
          <w:szCs w:val="16"/>
        </w:rPr>
      </w:pPr>
      <w:r>
        <w:rPr>
          <w:color w:val="000000"/>
          <w:sz w:val="20"/>
          <w:szCs w:val="16"/>
        </w:rPr>
        <w:t>Rapidly and efficiently implement process change</w:t>
      </w:r>
    </w:p>
    <w:p>
      <w:pPr>
        <w:pStyle w:val="Normal"/>
        <w:numPr>
          <w:ilvl w:val="0"/>
          <w:numId w:val="2"/>
        </w:numPr>
        <w:autoSpaceDE w:val="false"/>
        <w:ind w:hanging="360" w:start="360" w:end="718"/>
        <w:jc w:val="both"/>
        <w:rPr>
          <w:color w:val="000000"/>
          <w:sz w:val="20"/>
          <w:szCs w:val="16"/>
        </w:rPr>
      </w:pPr>
      <w:r>
        <w:rPr>
          <w:color w:val="000000"/>
          <w:sz w:val="20"/>
          <w:szCs w:val="16"/>
        </w:rPr>
        <w:t>Improve customer loyalty and retention</w:t>
      </w:r>
    </w:p>
    <w:p>
      <w:pPr>
        <w:pStyle w:val="Normal"/>
        <w:numPr>
          <w:ilvl w:val="0"/>
          <w:numId w:val="2"/>
        </w:numPr>
        <w:autoSpaceDE w:val="false"/>
        <w:ind w:hanging="360" w:start="360" w:end="718"/>
        <w:jc w:val="both"/>
        <w:rPr>
          <w:color w:val="000000"/>
          <w:sz w:val="20"/>
          <w:szCs w:val="16"/>
        </w:rPr>
      </w:pPr>
      <w:r>
        <w:rPr>
          <w:color w:val="000000"/>
          <w:sz w:val="20"/>
          <w:szCs w:val="16"/>
        </w:rPr>
        <w:t>Manage complexity and velocity during rapid growth</w:t>
      </w:r>
    </w:p>
    <w:p>
      <w:pPr>
        <w:pStyle w:val="Normal"/>
        <w:numPr>
          <w:ilvl w:val="0"/>
          <w:numId w:val="2"/>
        </w:numPr>
        <w:autoSpaceDE w:val="false"/>
        <w:ind w:hanging="360" w:start="360" w:end="718"/>
        <w:jc w:val="both"/>
        <w:rPr>
          <w:color w:val="000000"/>
          <w:sz w:val="20"/>
          <w:szCs w:val="16"/>
        </w:rPr>
      </w:pPr>
      <w:r>
        <w:rPr>
          <w:color w:val="000000"/>
          <w:sz w:val="20"/>
          <w:szCs w:val="16"/>
        </w:rPr>
        <w:t>Manage product and distribution diversification</w:t>
      </w:r>
    </w:p>
    <w:p>
      <w:pPr>
        <w:pStyle w:val="Normal"/>
        <w:numPr>
          <w:ilvl w:val="0"/>
          <w:numId w:val="2"/>
        </w:numPr>
        <w:autoSpaceDE w:val="false"/>
        <w:ind w:hanging="360" w:start="360" w:end="718"/>
        <w:jc w:val="both"/>
        <w:rPr>
          <w:b/>
          <w:bCs/>
          <w:sz w:val="20"/>
          <w:szCs w:val="18"/>
        </w:rPr>
      </w:pPr>
      <w:r>
        <w:rPr>
          <w:color w:val="000000"/>
          <w:sz w:val="20"/>
          <w:szCs w:val="16"/>
        </w:rPr>
        <w:t>Measure and achieve success</w:t>
      </w:r>
    </w:p>
    <w:p>
      <w:pPr>
        <w:pStyle w:val="Normal"/>
        <w:autoSpaceDE w:val="false"/>
        <w:ind w:end="718"/>
        <w:jc w:val="both"/>
        <w:rPr>
          <w:b/>
          <w:bCs/>
          <w:color w:val="000000"/>
          <w:sz w:val="20"/>
          <w:szCs w:val="16"/>
        </w:rPr>
      </w:pPr>
      <w:r>
        <w:rPr>
          <w:b/>
          <w:bCs/>
          <w:color w:val="000000"/>
          <w:sz w:val="20"/>
          <w:szCs w:val="16"/>
        </w:rPr>
      </w:r>
    </w:p>
    <w:p>
      <w:pPr>
        <w:pStyle w:val="Normal"/>
        <w:autoSpaceDE w:val="false"/>
        <w:ind w:end="718"/>
        <w:jc w:val="both"/>
        <w:rPr>
          <w:sz w:val="20"/>
          <w:szCs w:val="16"/>
        </w:rPr>
      </w:pPr>
      <w:r>
        <w:rPr>
          <w:sz w:val="20"/>
          <w:szCs w:val="16"/>
        </w:rPr>
        <w:t>In terms of discussion points, I will discuss the business of learning as corporations make the very important shift from learning as a cost center to learning as a profit center.</w:t>
      </w:r>
    </w:p>
    <w:p>
      <w:pPr>
        <w:pStyle w:val="Normal"/>
        <w:ind w:end="718"/>
        <w:rPr/>
      </w:pPr>
      <w:r>
        <w:rPr>
          <w:sz w:val="20"/>
          <w:szCs w:val="16"/>
        </w:rPr>
        <w:t xml:space="preserve"> </w:t>
      </w:r>
      <w:r>
        <w:rPr>
          <w:color w:val="000000"/>
          <w:sz w:val="20"/>
          <w:szCs w:val="16"/>
        </w:rPr>
        <w:t xml:space="preserve"> </w:t>
      </w:r>
    </w:p>
    <w:sectPr>
      <w:type w:val="continuous"/>
      <w:pgSz w:w="12240" w:h="15840"/>
      <w:pgMar w:left="1280" w:right="360" w:gutter="0" w:header="0" w:top="720" w:footer="0" w:bottom="720"/>
      <w:cols w:num="2" w:equalWidth="false" w:sep="false">
        <w:col w:w="4320" w:space="2"/>
        <w:col w:w="6838"/>
      </w:cols>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SapientSansLightItalic">
    <w:altName w:val="Courier New"/>
    <w:charset w:val="00" w:characterSet="windows-1252"/>
    <w:family w:val="auto"/>
    <w:pitch w:val="variable"/>
  </w:font>
  <w:font w:name="SapientSansRegular">
    <w:altName w:val="Courier New"/>
    <w:charset w:val="00" w:characterSet="windows-125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32"/>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Symbol" w:hAnsi="Symbol"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1620"/>
    </w:pPr>
    <w:rPr>
      <w:rFonts w:ascii="SapientSansLightItalic;Courier New" w:hAnsi="SapientSansLightItalic;Courier New" w:cs="SapientSansLightItalic;Courier New"/>
      <w:b/>
      <w:bCs/>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1080" w:start="-1080" w:end="0"/>
    </w:pPr>
    <w:rPr/>
  </w:style>
  <w:style w:type="paragraph" w:styleId="BodyText2">
    <w:name w:val="Body Text 2"/>
    <w:basedOn w:val="Normal"/>
    <w:qFormat/>
    <w:pPr>
      <w:ind w:hanging="0" w:start="0" w:end="718"/>
    </w:pPr>
    <w:rPr>
      <w:rFonts w:ascii="SapientSansRegular;Courier New" w:hAnsi="SapientSansRegular;Courier New" w:cs="SapientSansRegular;Courier New"/>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2001-02-02T17:55:00Z</dcterms:created>
  <dc:creator>John B. Carter</dc:creator>
  <dc:description/>
  <dc:language>en-CA</dc:language>
  <cp:lastModifiedBy>Casey Computer Center</cp:lastModifiedBy>
  <cp:lastPrinted>2001-02-05T16:10:00Z</cp:lastPrinted>
  <dcterms:modified xsi:type="dcterms:W3CDTF">2001-02-12T13:15:00Z</dcterms:modified>
  <cp:revision>10</cp:revision>
  <dc:subject/>
  <dc:title>David B</dc:title>
</cp:coreProperties>
</file>