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ame"/>
        <w:rPr/>
      </w:pPr>
      <w:r>
        <w:rPr/>
        <w:t>David Goldman</w:t>
        <w:tab/>
        <w:tab/>
        <w:tab/>
        <w:tab/>
      </w:r>
      <w:r>
        <mc:AlternateContent>
          <mc:Choice Requires="wps">
            <w:drawing>
              <wp:anchor behindDoc="0" distT="0" distB="0" distL="0" distR="0" simplePos="0" locked="0" layoutInCell="0" allowOverlap="1" relativeHeight="2">
                <wp:simplePos x="0" y="0"/>
                <wp:positionH relativeFrom="page">
                  <wp:posOffset>4755515</wp:posOffset>
                </wp:positionH>
                <wp:positionV relativeFrom="page">
                  <wp:posOffset>732155</wp:posOffset>
                </wp:positionV>
                <wp:extent cx="2284730" cy="876300"/>
                <wp:effectExtent l="0" t="0" r="0" b="0"/>
                <wp:wrapTopAndBottom/>
                <wp:docPr id="1" name="Frame1"/>
                <a:graphic xmlns:a="http://schemas.openxmlformats.org/drawingml/2006/main">
                  <a:graphicData uri="http://schemas.microsoft.com/office/word/2010/wordprocessingShape">
                    <wps:wsp>
                      <wps:cNvSpPr txBox="1"/>
                      <wps:spPr>
                        <a:xfrm>
                          <a:off x="0" y="0"/>
                          <a:ext cx="2284730" cy="876300"/>
                        </a:xfrm>
                        <a:prstGeom prst="rect"/>
                        <a:solidFill>
                          <a:srgbClr val="FFFFFF">
                            <a:alpha val="0"/>
                          </a:srgbClr>
                        </a:solidFill>
                      </wps:spPr>
                      <wps:txbx>
                        <w:txbxContent>
                          <w:p>
                            <w:pPr>
                              <w:pStyle w:val="Address1"/>
                              <w:rPr>
                                <w:sz w:val="24"/>
                              </w:rPr>
                            </w:pPr>
                            <w:r>
                              <w:rPr>
                                <w:sz w:val="24"/>
                              </w:rPr>
                              <w:t>Tel: 0208 340 0179</w:t>
                            </w:r>
                          </w:p>
                          <w:p>
                            <w:pPr>
                              <w:pStyle w:val="Address1"/>
                              <w:rPr>
                                <w:sz w:val="24"/>
                              </w:rPr>
                            </w:pPr>
                            <w:r>
                              <w:rPr>
                                <w:sz w:val="24"/>
                              </w:rPr>
                              <w:t xml:space="preserve">e-mail: </w:t>
                            </w:r>
                            <w:hyperlink r:id="rId2">
                              <w:r>
                                <w:rPr>
                                  <w:rStyle w:val="Hyperlink"/>
                                  <w:color w:val="000000"/>
                                  <w:sz w:val="24"/>
                                </w:rPr>
                                <w:t>david.goldman@btinternet.com</w:t>
                              </w:r>
                            </w:hyperlink>
                          </w:p>
                          <w:p>
                            <w:pPr>
                              <w:pStyle w:val="Address1"/>
                              <w:rPr>
                                <w:sz w:val="24"/>
                              </w:rPr>
                            </w:pPr>
                            <w:r>
                              <w:rPr>
                                <w:sz w:val="24"/>
                              </w:rPr>
                              <w:t>D.O.B. 28/08/1970</w:t>
                            </w:r>
                          </w:p>
                          <w:p>
                            <w:pPr>
                              <w:pStyle w:val="Address1"/>
                              <w:rPr>
                                <w:sz w:val="20"/>
                              </w:rPr>
                            </w:pPr>
                            <w:r>
                              <w:rPr>
                                <w:sz w:val="24"/>
                              </w:rPr>
                              <w:t>Marital Status: Single</w:t>
                            </w:r>
                          </w:p>
                        </w:txbxContent>
                      </wps:txbx>
                      <wps:bodyPr anchor="t" lIns="0" tIns="0" rIns="0" bIns="0">
                        <a:noAutofit/>
                      </wps:bodyPr>
                    </wps:wsp>
                  </a:graphicData>
                </a:graphic>
              </wp:anchor>
            </w:drawing>
          </mc:Choice>
          <mc:Fallback>
            <w:pict>
              <v:rect fillcolor="#FFFFFF" style="position:absolute;rotation:-0;width:179.9pt;height:69pt;mso-wrap-distance-left:0pt;mso-wrap-distance-right:0pt;mso-wrap-distance-top:0pt;mso-wrap-distance-bottom:0pt;margin-top:57.65pt;mso-position-vertical-relative:page;margin-left:374.45pt;mso-position-horizontal-relative:page">
                <v:fill opacity="0f"/>
                <v:textbox inset="0in,0in,0in,0in">
                  <w:txbxContent>
                    <w:p>
                      <w:pPr>
                        <w:pStyle w:val="Address1"/>
                        <w:rPr>
                          <w:sz w:val="24"/>
                        </w:rPr>
                      </w:pPr>
                      <w:r>
                        <w:rPr>
                          <w:sz w:val="24"/>
                        </w:rPr>
                        <w:t>Tel: 0208 340 0179</w:t>
                      </w:r>
                    </w:p>
                    <w:p>
                      <w:pPr>
                        <w:pStyle w:val="Address1"/>
                        <w:rPr>
                          <w:sz w:val="24"/>
                        </w:rPr>
                      </w:pPr>
                      <w:r>
                        <w:rPr>
                          <w:sz w:val="24"/>
                        </w:rPr>
                        <w:t xml:space="preserve">e-mail: </w:t>
                      </w:r>
                      <w:hyperlink r:id="rId3">
                        <w:r>
                          <w:rPr>
                            <w:rStyle w:val="Hyperlink"/>
                            <w:color w:val="000000"/>
                            <w:sz w:val="24"/>
                          </w:rPr>
                          <w:t>david.goldman@btinternet.com</w:t>
                        </w:r>
                      </w:hyperlink>
                    </w:p>
                    <w:p>
                      <w:pPr>
                        <w:pStyle w:val="Address1"/>
                        <w:rPr>
                          <w:sz w:val="24"/>
                        </w:rPr>
                      </w:pPr>
                      <w:r>
                        <w:rPr>
                          <w:sz w:val="24"/>
                        </w:rPr>
                        <w:t>D.O.B. 28/08/1970</w:t>
                      </w:r>
                    </w:p>
                    <w:p>
                      <w:pPr>
                        <w:pStyle w:val="Address1"/>
                        <w:rPr>
                          <w:sz w:val="20"/>
                        </w:rPr>
                      </w:pPr>
                      <w:r>
                        <w:rPr>
                          <w:sz w:val="24"/>
                        </w:rPr>
                        <w:t>Marital Status: Single</w:t>
                      </w:r>
                    </w:p>
                  </w:txbxContent>
                </v:textbox>
                <w10:wrap type="topAndBottom"/>
              </v:rect>
            </w:pict>
          </mc:Fallback>
        </mc:AlternateContent>
      </w:r>
      <w:r>
        <mc:AlternateContent>
          <mc:Choice Requires="wps">
            <w:drawing>
              <wp:anchor behindDoc="0" distT="0" distB="0" distL="0" distR="0" simplePos="0" locked="0" layoutInCell="0" allowOverlap="1" relativeHeight="3">
                <wp:simplePos x="0" y="0"/>
                <wp:positionH relativeFrom="page">
                  <wp:posOffset>3201035</wp:posOffset>
                </wp:positionH>
                <wp:positionV relativeFrom="page">
                  <wp:posOffset>732155</wp:posOffset>
                </wp:positionV>
                <wp:extent cx="1289050" cy="876300"/>
                <wp:effectExtent l="0" t="0" r="0" b="0"/>
                <wp:wrapTopAndBottom/>
                <wp:docPr id="2" name="Frame2"/>
                <a:graphic xmlns:a="http://schemas.openxmlformats.org/drawingml/2006/main">
                  <a:graphicData uri="http://schemas.microsoft.com/office/word/2010/wordprocessingShape">
                    <wps:wsp>
                      <wps:cNvSpPr txBox="1"/>
                      <wps:spPr>
                        <a:xfrm>
                          <a:off x="0" y="0"/>
                          <a:ext cx="1289050" cy="876300"/>
                        </a:xfrm>
                        <a:prstGeom prst="rect"/>
                        <a:solidFill>
                          <a:srgbClr val="FFFFFF">
                            <a:alpha val="0"/>
                          </a:srgbClr>
                        </a:solidFill>
                      </wps:spPr>
                      <wps:txbx>
                        <w:txbxContent>
                          <w:p>
                            <w:pPr>
                              <w:pStyle w:val="Address2"/>
                              <w:rPr>
                                <w:sz w:val="24"/>
                              </w:rPr>
                            </w:pPr>
                            <w:r>
                              <w:rPr>
                                <w:sz w:val="24"/>
                              </w:rPr>
                              <w:t>19 West Hill Park</w:t>
                            </w:r>
                          </w:p>
                          <w:p>
                            <w:pPr>
                              <w:pStyle w:val="Address2"/>
                              <w:rPr>
                                <w:sz w:val="24"/>
                              </w:rPr>
                            </w:pPr>
                            <w:r>
                              <w:rPr>
                                <w:sz w:val="24"/>
                              </w:rPr>
                              <w:t>Highgate</w:t>
                            </w:r>
                          </w:p>
                          <w:p>
                            <w:pPr>
                              <w:pStyle w:val="Address2"/>
                              <w:rPr>
                                <w:sz w:val="24"/>
                              </w:rPr>
                            </w:pPr>
                            <w:r>
                              <w:rPr>
                                <w:sz w:val="24"/>
                              </w:rPr>
                              <w:t>London</w:t>
                            </w:r>
                          </w:p>
                          <w:p>
                            <w:pPr>
                              <w:pStyle w:val="Address2"/>
                              <w:rPr>
                                <w:sz w:val="24"/>
                              </w:rPr>
                            </w:pPr>
                            <w:r>
                              <w:rPr>
                                <w:sz w:val="24"/>
                              </w:rPr>
                              <w:t>N6 6ND</w:t>
                            </w:r>
                          </w:p>
                          <w:p>
                            <w:pPr>
                              <w:pStyle w:val="Address2"/>
                              <w:rPr>
                                <w:sz w:val="24"/>
                              </w:rPr>
                            </w:pPr>
                            <w:r>
                              <w:rPr>
                                <w:sz w:val="24"/>
                              </w:rPr>
                              <w:t>ENGLAND</w:t>
                            </w:r>
                          </w:p>
                        </w:txbxContent>
                      </wps:txbx>
                      <wps:bodyPr anchor="t" lIns="0" tIns="0" rIns="0" bIns="0">
                        <a:noAutofit/>
                      </wps:bodyPr>
                    </wps:wsp>
                  </a:graphicData>
                </a:graphic>
              </wp:anchor>
            </w:drawing>
          </mc:Choice>
          <mc:Fallback>
            <w:pict>
              <v:rect fillcolor="#FFFFFF" style="position:absolute;rotation:-0;width:101.5pt;height:69pt;mso-wrap-distance-left:0pt;mso-wrap-distance-right:0pt;mso-wrap-distance-top:0pt;mso-wrap-distance-bottom:0pt;margin-top:57.65pt;mso-position-vertical-relative:page;margin-left:252.05pt;mso-position-horizontal-relative:page">
                <v:fill opacity="0f"/>
                <v:textbox inset="0in,0in,0in,0in">
                  <w:txbxContent>
                    <w:p>
                      <w:pPr>
                        <w:pStyle w:val="Address2"/>
                        <w:rPr>
                          <w:sz w:val="24"/>
                        </w:rPr>
                      </w:pPr>
                      <w:r>
                        <w:rPr>
                          <w:sz w:val="24"/>
                        </w:rPr>
                        <w:t>19 West Hill Park</w:t>
                      </w:r>
                    </w:p>
                    <w:p>
                      <w:pPr>
                        <w:pStyle w:val="Address2"/>
                        <w:rPr>
                          <w:sz w:val="24"/>
                        </w:rPr>
                      </w:pPr>
                      <w:r>
                        <w:rPr>
                          <w:sz w:val="24"/>
                        </w:rPr>
                        <w:t>Highgate</w:t>
                      </w:r>
                    </w:p>
                    <w:p>
                      <w:pPr>
                        <w:pStyle w:val="Address2"/>
                        <w:rPr>
                          <w:sz w:val="24"/>
                        </w:rPr>
                      </w:pPr>
                      <w:r>
                        <w:rPr>
                          <w:sz w:val="24"/>
                        </w:rPr>
                        <w:t>London</w:t>
                      </w:r>
                    </w:p>
                    <w:p>
                      <w:pPr>
                        <w:pStyle w:val="Address2"/>
                        <w:rPr>
                          <w:sz w:val="24"/>
                        </w:rPr>
                      </w:pPr>
                      <w:r>
                        <w:rPr>
                          <w:sz w:val="24"/>
                        </w:rPr>
                        <w:t>N6 6ND</w:t>
                      </w:r>
                    </w:p>
                    <w:p>
                      <w:pPr>
                        <w:pStyle w:val="Address2"/>
                        <w:rPr>
                          <w:sz w:val="24"/>
                        </w:rPr>
                      </w:pPr>
                      <w:r>
                        <w:rPr>
                          <w:sz w:val="24"/>
                        </w:rPr>
                        <w:t>ENGLAND</w:t>
                      </w:r>
                    </w:p>
                  </w:txbxContent>
                </v:textbox>
                <w10:wrap type="topAndBottom"/>
              </v:rect>
            </w:pict>
          </mc:Fallback>
        </mc:AlternateContent>
      </w:r>
    </w:p>
    <w:tbl>
      <w:tblPr>
        <w:tblW w:w="9039" w:type="dxa"/>
        <w:jc w:val="start"/>
        <w:tblInd w:w="0" w:type="dxa"/>
        <w:tblLayout w:type="fixed"/>
        <w:tblCellMar>
          <w:top w:w="0" w:type="dxa"/>
          <w:start w:w="108" w:type="dxa"/>
          <w:bottom w:w="0" w:type="dxa"/>
          <w:end w:w="108" w:type="dxa"/>
        </w:tblCellMar>
      </w:tblPr>
      <w:tblGrid>
        <w:gridCol w:w="2160"/>
        <w:gridCol w:w="6879"/>
      </w:tblGrid>
      <w:tr>
        <w:trPr/>
        <w:tc>
          <w:tcPr>
            <w:tcW w:w="2160" w:type="dxa"/>
            <w:tcBorders/>
          </w:tcPr>
          <w:p>
            <w:pPr>
              <w:pStyle w:val="SectionTitle"/>
              <w:snapToGrid w:val="false"/>
              <w:spacing w:before="220" w:after="0"/>
              <w:rPr/>
            </w:pPr>
            <w:r>
              <w:rPr/>
            </w:r>
          </w:p>
        </w:tc>
        <w:tc>
          <w:tcPr>
            <w:tcW w:w="6879" w:type="dxa"/>
            <w:tcBorders/>
          </w:tcPr>
          <w:p>
            <w:pPr>
              <w:pStyle w:val="Objective"/>
              <w:snapToGrid w:val="false"/>
              <w:spacing w:before="240" w:after="220"/>
              <w:rPr/>
            </w:pPr>
            <w:r>
              <w:rPr/>
            </w:r>
          </w:p>
        </w:tc>
      </w:tr>
      <w:tr>
        <w:trPr/>
        <w:tc>
          <w:tcPr>
            <w:tcW w:w="2160" w:type="dxa"/>
            <w:tcBorders/>
          </w:tcPr>
          <w:p>
            <w:pPr>
              <w:pStyle w:val="SectionTitle"/>
              <w:spacing w:lineRule="atLeast" w:line="220" w:before="220" w:after="0"/>
              <w:rPr/>
            </w:pPr>
            <w:r>
              <w:rPr/>
              <w:t>Experience</w:t>
            </w:r>
          </w:p>
        </w:tc>
        <w:tc>
          <w:tcPr>
            <w:tcW w:w="6879" w:type="dxa"/>
            <w:tcBorders/>
          </w:tcPr>
          <w:p>
            <w:pPr>
              <w:pStyle w:val="CompanyNameOne"/>
              <w:spacing w:before="240" w:after="40"/>
              <w:rPr/>
            </w:pPr>
            <w:r>
              <w:rPr/>
              <w:t>2000 - Present</w:t>
              <w:tab/>
              <w:tab/>
            </w:r>
          </w:p>
          <w:p>
            <w:pPr>
              <w:pStyle w:val="JobTitle"/>
              <w:rPr/>
            </w:pPr>
            <w:r>
              <w:rPr/>
              <w:t>Self-Employed Day Trader</w:t>
            </w:r>
          </w:p>
          <w:p>
            <w:pPr>
              <w:pStyle w:val="Achievement"/>
              <w:numPr>
                <w:ilvl w:val="0"/>
                <w:numId w:val="2"/>
              </w:numPr>
              <w:ind w:hanging="0" w:start="0"/>
              <w:rPr/>
            </w:pPr>
            <w:r>
              <w:rPr/>
              <w:t>Set up a trading operation from home, initially dealing in energy futures, then moving on to equity indices (specifically the S&amp;P and Nasdaq). Reason for change, is that the indices are ideally suited to the individual day trader, as they are internet based and therefore offer a more direct trading interface. Trading style is technical, and has encompassed many facets, including trendlines, averages, oscillators, candlesticks, and as well as having written some of my own systems (both excel and tradestation based), have taken a keen interest in the work of others, eg Tom DeMark, Jake Bernstein. Have used a variety of packages, and am familiar with the likes of TradeStation, FuturesSource, CQG, and E-Signal.</w:t>
            </w:r>
          </w:p>
          <w:p>
            <w:pPr>
              <w:pStyle w:val="Achievement"/>
              <w:numPr>
                <w:ilvl w:val="0"/>
                <w:numId w:val="0"/>
              </w:numPr>
              <w:spacing w:before="0" w:after="60"/>
              <w:ind w:hanging="0" w:start="0"/>
              <w:rPr/>
            </w:pPr>
            <w:r>
              <w:rPr/>
            </w:r>
          </w:p>
        </w:tc>
      </w:tr>
      <w:tr>
        <w:trPr/>
        <w:tc>
          <w:tcPr>
            <w:tcW w:w="2160" w:type="dxa"/>
            <w:tcBorders/>
          </w:tcPr>
          <w:p>
            <w:pPr>
              <w:pStyle w:val="Normal"/>
              <w:snapToGrid w:val="false"/>
              <w:rPr/>
            </w:pPr>
            <w:r>
              <w:rPr/>
            </w:r>
          </w:p>
        </w:tc>
        <w:tc>
          <w:tcPr>
            <w:tcW w:w="6879" w:type="dxa"/>
            <w:tcBorders/>
          </w:tcPr>
          <w:p>
            <w:pPr>
              <w:pStyle w:val="CompanyName"/>
              <w:spacing w:lineRule="atLeast" w:line="220" w:before="240" w:after="40"/>
              <w:rPr/>
            </w:pPr>
            <w:r>
              <w:rPr/>
              <w:t>1999 - 2000</w:t>
              <w:tab/>
              <w:t>BP Oil Trading International</w:t>
              <w:tab/>
            </w:r>
          </w:p>
          <w:p>
            <w:pPr>
              <w:pStyle w:val="JobTitle"/>
              <w:rPr/>
            </w:pPr>
            <w:r>
              <w:rPr/>
              <w:t>Senior Energy Derivatives Trader</w:t>
            </w:r>
          </w:p>
          <w:p>
            <w:pPr>
              <w:pStyle w:val="Achievement"/>
              <w:numPr>
                <w:ilvl w:val="0"/>
                <w:numId w:val="2"/>
              </w:numPr>
              <w:ind w:hanging="0" w:start="0"/>
              <w:rPr/>
            </w:pPr>
            <w:r>
              <w:rPr/>
              <w:t>Working alongside 12 others on the Risk Management Desk, I was one of three senior traders. Our trading was split into various categories, including long-term structured deals, short-end customer business, and arbitraging historical anomalies that existed between contracts. Being BP, our information flow was excellent, and we were able to keep a step ahead of the game. Although my trading position was a ‘general’ one, I was considered the options specialist. I acted as the focal point for many of the option trades that went on within BP, and was able to provide support for most of the surrounding trading desks, including North Sea Crude, Products Trading and the Refinery Management arm.</w:t>
            </w:r>
          </w:p>
          <w:p>
            <w:pPr>
              <w:pStyle w:val="Achievement"/>
              <w:numPr>
                <w:ilvl w:val="0"/>
                <w:numId w:val="0"/>
              </w:numPr>
              <w:spacing w:before="0" w:after="60"/>
              <w:ind w:hanging="0" w:start="0"/>
              <w:rPr/>
            </w:pPr>
            <w:r>
              <w:rPr/>
            </w:r>
          </w:p>
        </w:tc>
      </w:tr>
      <w:tr>
        <w:trPr/>
        <w:tc>
          <w:tcPr>
            <w:tcW w:w="2160" w:type="dxa"/>
            <w:tcBorders/>
          </w:tcPr>
          <w:p>
            <w:pPr>
              <w:pStyle w:val="Normal"/>
              <w:snapToGrid w:val="false"/>
              <w:rPr/>
            </w:pPr>
            <w:r>
              <w:rPr/>
            </w:r>
          </w:p>
        </w:tc>
        <w:tc>
          <w:tcPr>
            <w:tcW w:w="6879" w:type="dxa"/>
            <w:tcBorders/>
          </w:tcPr>
          <w:p>
            <w:pPr>
              <w:pStyle w:val="CompanyName"/>
              <w:spacing w:lineRule="atLeast" w:line="220" w:before="240" w:after="40"/>
              <w:rPr/>
            </w:pPr>
            <w:r>
              <w:rPr/>
              <w:t>1998 - 1999</w:t>
              <w:tab/>
              <w:t>Credit Lyonnais</w:t>
              <w:tab/>
            </w:r>
          </w:p>
          <w:p>
            <w:pPr>
              <w:pStyle w:val="JobTitle"/>
              <w:rPr/>
            </w:pPr>
            <w:r>
              <w:rPr/>
              <w:t>Senior Options Dealer</w:t>
            </w:r>
          </w:p>
          <w:p>
            <w:pPr>
              <w:pStyle w:val="Achievement"/>
              <w:numPr>
                <w:ilvl w:val="0"/>
                <w:numId w:val="2"/>
              </w:numPr>
              <w:spacing w:before="0" w:after="60"/>
              <w:ind w:hanging="0" w:start="0"/>
              <w:rPr/>
            </w:pPr>
            <w:r>
              <w:rPr/>
              <w:t>Essentially expanded the option market-making capabilities of Credit Lyonnais, enabling them to compete with the more established players. Traded a wide range of products, including Brent Crude Oil, WTI, Gasoil, Heating Oil, Unleaded Gasoline, Natural Gas, NWE Jet, and a  number of grades of Fuel Oil. Depending on the contract, these were traded and managed in various ways.  Running a large volatility book(s) inevitably meant having  to oversee delta positions, which involved trading a variety of futures, spreads, swaps and cracks both on exchange (IPE and NYMEX), and OTC. Likewise,  my option trading activity was not limited to just one location,  and we were also fortunate enough to have a large customer base with which to trade.</w:t>
            </w:r>
          </w:p>
        </w:tc>
      </w:tr>
      <w:tr>
        <w:trPr/>
        <w:tc>
          <w:tcPr>
            <w:tcW w:w="2160" w:type="dxa"/>
            <w:tcBorders/>
          </w:tcPr>
          <w:p>
            <w:pPr>
              <w:pStyle w:val="Normal"/>
              <w:snapToGrid w:val="false"/>
              <w:rPr/>
            </w:pPr>
            <w:r>
              <w:rPr/>
            </w:r>
          </w:p>
        </w:tc>
        <w:tc>
          <w:tcPr>
            <w:tcW w:w="6879" w:type="dxa"/>
            <w:tcBorders/>
          </w:tcPr>
          <w:p>
            <w:pPr>
              <w:pStyle w:val="CompanyName"/>
              <w:spacing w:lineRule="atLeast" w:line="220" w:before="240" w:after="40"/>
              <w:rPr/>
            </w:pPr>
            <w:r>
              <w:rPr/>
              <w:t>1990 - 1998</w:t>
              <w:tab/>
              <w:t>NationsBank (CRT)</w:t>
              <w:tab/>
            </w:r>
          </w:p>
          <w:p>
            <w:pPr>
              <w:pStyle w:val="JobTitle"/>
              <w:rPr/>
            </w:pPr>
            <w:r>
              <w:rPr/>
              <w:t>Manager  (London Energy Trading Operation)</w:t>
            </w:r>
          </w:p>
          <w:p>
            <w:pPr>
              <w:pStyle w:val="Achievement"/>
              <w:numPr>
                <w:ilvl w:val="0"/>
                <w:numId w:val="2"/>
              </w:numPr>
              <w:tabs>
                <w:tab w:val="left" w:pos="-884" w:leader="none"/>
              </w:tabs>
              <w:ind w:hanging="0" w:start="0"/>
              <w:rPr/>
            </w:pPr>
            <w:r>
              <w:rPr/>
              <w:t>My initial role began on the IPE as a clerk, and within 9 months I was able to achieve the position of trader. As one of the leading option market makers in the world, we ran a large global volatility arbitrage between WTI and Brent, and Heating Oil and Gasoil. As the markets changed, so did the way in which we approached this business. During my time on the ‘floor’ (approx 6 years), I progressed to being appointed to the Pit Committee, and then later sat on the Floor Committee as well. I was instrumental in improving the professionalism of those who traded in the options pit, and set up various exams for those who wanted to continue to do so. After about 5 years, I became the Manager of the London operation, and was responsible for all energy trading that was done out of the London office. Moving to an upstairs (OTC) role, I assumed the responsibility of managing the Gasoil position – as up until this time, position management had been done out of Chicago. I strove to improve on the way we conducted all areas of our business, and ensured that we kept our number one spot, in the options risk evaluations. By offering a high standard of service, we were not only able to build up a large and loyal customer base, but were also known throughout the broking community as the top tier player.</w:t>
            </w:r>
          </w:p>
          <w:p>
            <w:pPr>
              <w:pStyle w:val="Achievement"/>
              <w:numPr>
                <w:ilvl w:val="0"/>
                <w:numId w:val="0"/>
              </w:numPr>
              <w:spacing w:before="0" w:after="60"/>
              <w:ind w:hanging="0" w:start="0"/>
              <w:rPr/>
            </w:pPr>
            <w:r>
              <w:rPr/>
            </w:r>
          </w:p>
        </w:tc>
      </w:tr>
      <w:tr>
        <w:trPr/>
        <w:tc>
          <w:tcPr>
            <w:tcW w:w="2160" w:type="dxa"/>
            <w:tcBorders/>
          </w:tcPr>
          <w:p>
            <w:pPr>
              <w:pStyle w:val="SectionTitle"/>
              <w:spacing w:lineRule="atLeast" w:line="220" w:before="220" w:after="0"/>
              <w:rPr/>
            </w:pPr>
            <w:r>
              <w:rPr/>
              <w:t>Education</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SectionTitle"/>
              <w:rPr/>
            </w:pPr>
            <w:r>
              <w:rPr/>
              <w:t>Interests</w:t>
            </w:r>
          </w:p>
          <w:p>
            <w:pPr>
              <w:pStyle w:val="Normal"/>
              <w:rPr/>
            </w:pPr>
            <w:r>
              <w:rPr/>
            </w:r>
          </w:p>
        </w:tc>
        <w:tc>
          <w:tcPr>
            <w:tcW w:w="6879" w:type="dxa"/>
            <w:tcBorders/>
          </w:tcPr>
          <w:p>
            <w:pPr>
              <w:pStyle w:val="Institution"/>
              <w:spacing w:lineRule="atLeast" w:line="220" w:before="240" w:after="60"/>
              <w:ind w:hanging="250" w:start="250" w:end="34"/>
              <w:rPr/>
            </w:pPr>
            <w:r>
              <w:rPr/>
              <w:t>1988 – 1990                  Leeds Metropolitan University</w:t>
              <w:tab/>
            </w:r>
          </w:p>
          <w:p>
            <w:pPr>
              <w:pStyle w:val="Achievement"/>
              <w:numPr>
                <w:ilvl w:val="0"/>
                <w:numId w:val="2"/>
              </w:numPr>
              <w:ind w:hanging="0" w:start="0"/>
              <w:rPr/>
            </w:pPr>
            <w:r>
              <w:rPr/>
              <w:t>Foundation in Accounting and Finance</w:t>
            </w:r>
          </w:p>
          <w:p>
            <w:pPr>
              <w:pStyle w:val="Achievement"/>
              <w:numPr>
                <w:ilvl w:val="0"/>
                <w:numId w:val="0"/>
              </w:numPr>
              <w:ind w:hanging="0" w:start="0"/>
              <w:rPr/>
            </w:pPr>
            <w:r>
              <w:rPr/>
            </w:r>
          </w:p>
          <w:p>
            <w:pPr>
              <w:pStyle w:val="Achievement"/>
              <w:numPr>
                <w:ilvl w:val="0"/>
                <w:numId w:val="0"/>
              </w:numPr>
              <w:ind w:hanging="0" w:start="0"/>
              <w:rPr/>
            </w:pPr>
            <w:r>
              <w:rPr/>
              <w:t>1982 – 1988                     JFS, Camden Town</w:t>
            </w:r>
          </w:p>
          <w:p>
            <w:pPr>
              <w:pStyle w:val="Achievement"/>
              <w:numPr>
                <w:ilvl w:val="0"/>
                <w:numId w:val="3"/>
              </w:numPr>
              <w:rPr/>
            </w:pPr>
            <w:r>
              <w:rPr/>
              <w:t>A’ Levels: English, Economics</w:t>
            </w:r>
          </w:p>
          <w:p>
            <w:pPr>
              <w:pStyle w:val="Achievement"/>
              <w:numPr>
                <w:ilvl w:val="0"/>
                <w:numId w:val="3"/>
              </w:numPr>
              <w:spacing w:before="0" w:after="60"/>
              <w:rPr/>
            </w:pPr>
            <w:r>
              <w:rPr/>
              <w:t>O’ Levels: Mathematics, English Language, English Literature, Physics, Computer Studies, History</w:t>
            </w:r>
          </w:p>
        </w:tc>
      </w:tr>
      <w:tr>
        <w:trPr/>
        <w:tc>
          <w:tcPr>
            <w:tcW w:w="2160" w:type="dxa"/>
            <w:tcBorders/>
          </w:tcPr>
          <w:p>
            <w:pPr>
              <w:pStyle w:val="SectionTitle"/>
              <w:spacing w:before="220" w:after="0"/>
              <w:rPr>
                <w:rFonts w:eastAsia="Arial Black"/>
              </w:rPr>
            </w:pPr>
            <w:r>
              <w:rPr>
                <w:rFonts w:eastAsia="Arial Black"/>
              </w:rPr>
              <w:t xml:space="preserve">                  </w:t>
            </w:r>
          </w:p>
        </w:tc>
        <w:tc>
          <w:tcPr>
            <w:tcW w:w="6879" w:type="dxa"/>
            <w:tcBorders/>
          </w:tcPr>
          <w:p>
            <w:pPr>
              <w:pStyle w:val="Achievement"/>
              <w:numPr>
                <w:ilvl w:val="0"/>
                <w:numId w:val="0"/>
              </w:numPr>
              <w:spacing w:before="0" w:after="60"/>
              <w:ind w:hanging="250" w:start="250" w:end="0"/>
              <w:rPr/>
            </w:pPr>
            <w:r>
              <w:rPr>
                <w:rFonts w:eastAsia="Arial"/>
              </w:rPr>
              <w:t xml:space="preserve">     </w:t>
            </w:r>
            <w:r>
              <w:rPr/>
              <w:t xml:space="preserve">I like to think of myself as a person who takes an interest in most things. A keen sportsman, I can often be found playing football, tennis, table tennis and badminton, or just generally trying to stay fit. Martial arts used to be a great love of mine, but I had to give it up due to injury. I find creative activities very rewarding, as they bring with them tangible results that are often missing in other areas. Although this may sound strange to some, I actually enjoy working – in my case trading! The markets provides a fantastic challenge and I like to pit my wits against it on a daily basis! A stimulating social life helps me to keep everything in perspective, and is something I try to never lose sight of. I like books – both reading and writing – and, when they work properly, computers! Although it’s moving at an electrifying pace, I do my best to keep up with technology and progress. Cars are also a great love of mine, and I’ve been fortunate enough to own some fantastic examples – from classic roadsters to modern sports cars. </w:t>
            </w:r>
          </w:p>
        </w:tc>
      </w:tr>
      <w:tr>
        <w:trPr/>
        <w:tc>
          <w:tcPr>
            <w:tcW w:w="2160" w:type="dxa"/>
            <w:tcBorders/>
          </w:tcPr>
          <w:p>
            <w:pPr>
              <w:pStyle w:val="SectionTitle"/>
              <w:snapToGrid w:val="false"/>
              <w:spacing w:before="220" w:after="0"/>
              <w:rPr/>
            </w:pPr>
            <w:r>
              <w:rPr/>
            </w:r>
          </w:p>
        </w:tc>
        <w:tc>
          <w:tcPr>
            <w:tcW w:w="6879" w:type="dxa"/>
            <w:tcBorders/>
          </w:tcPr>
          <w:p>
            <w:pPr>
              <w:pStyle w:val="Objective"/>
              <w:snapToGrid w:val="false"/>
              <w:spacing w:before="240" w:after="220"/>
              <w:rPr/>
            </w:pPr>
            <w:r>
              <w:rPr/>
            </w:r>
          </w:p>
        </w:tc>
      </w:tr>
    </w:tbl>
    <w:p>
      <w:pPr>
        <w:pStyle w:val="Normal"/>
        <w:rPr/>
      </w:pPr>
      <w:r>
        <w:rPr/>
      </w:r>
    </w:p>
    <w:p>
      <w:pPr>
        <w:pStyle w:val="Normal"/>
        <w:rPr/>
      </w:pPr>
      <w:r>
        <w:rPr/>
      </w:r>
    </w:p>
    <w:p>
      <w:pPr>
        <w:pStyle w:val="Normal"/>
        <w:rPr/>
      </w:pPr>
      <w:r>
        <w:rPr/>
      </w:r>
    </w:p>
    <w:sectPr>
      <w:headerReference w:type="default" r:id="rId4"/>
      <w:headerReference w:type="first" r:id="rId5"/>
      <w:type w:val="nextPage"/>
      <w:pgSz w:w="12240" w:h="15840"/>
      <w:pgMar w:left="1800" w:right="1800" w:gutter="0" w:header="965" w:top="192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eastAsia="Arial"/>
      </w:rPr>
    </w:pPr>
    <w:r>
      <w:rPr>
        <w:rFonts w:eastAsia="Arial"/>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245" w:hanging="245"/>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bidi="ar-SA" w:eastAsia="zh-CN"/>
    </w:rPr>
  </w:style>
  <w:style w:type="paragraph" w:styleId="Heading1">
    <w:name w:val="heading 1"/>
    <w:basedOn w:val="HeadingBase"/>
    <w:next w:val="BodyText"/>
    <w:qFormat/>
    <w:pPr>
      <w:numPr>
        <w:ilvl w:val="0"/>
        <w:numId w:val="1"/>
      </w:numPr>
      <w:spacing w:before="220" w:after="220"/>
      <w:ind w:hanging="0" w:start="-2160" w:end="0"/>
      <w:jc w:val="start"/>
      <w:outlineLvl w:val="0"/>
    </w:pPr>
    <w:rPr>
      <w:rFonts w:ascii="Arial Black" w:hAnsi="Arial Black" w:cs="Arial Black"/>
      <w:kern w:val="2"/>
      <w:sz w:val="20"/>
    </w:rPr>
  </w:style>
  <w:style w:type="paragraph" w:styleId="Heading2">
    <w:name w:val="heading 2"/>
    <w:basedOn w:val="HeadingBase"/>
    <w:next w:val="BodyText"/>
    <w:qFormat/>
    <w:pPr>
      <w:numPr>
        <w:ilvl w:val="1"/>
        <w:numId w:val="1"/>
      </w:numPr>
      <w:spacing w:before="0" w:after="220"/>
      <w:jc w:val="start"/>
      <w:outlineLvl w:val="1"/>
    </w:pPr>
    <w:rPr>
      <w:rFonts w:ascii="Arial Black" w:hAnsi="Arial Black" w:cs="Arial Black"/>
      <w:sz w:val="20"/>
    </w:rPr>
  </w:style>
  <w:style w:type="paragraph" w:styleId="Heading3">
    <w:name w:val="heading 3"/>
    <w:basedOn w:val="HeadingBase"/>
    <w:next w:val="BodyText"/>
    <w:qFormat/>
    <w:pPr>
      <w:numPr>
        <w:ilvl w:val="2"/>
        <w:numId w:val="1"/>
      </w:numPr>
      <w:spacing w:before="0" w:after="220"/>
      <w:jc w:val="start"/>
      <w:outlineLvl w:val="2"/>
    </w:pPr>
    <w:rPr>
      <w:i/>
      <w:spacing w:val="-2"/>
      <w:sz w:val="20"/>
    </w:rPr>
  </w:style>
  <w:style w:type="paragraph" w:styleId="Heading4">
    <w:name w:val="heading 4"/>
    <w:basedOn w:val="HeadingBase"/>
    <w:next w:val="BodyText"/>
    <w:qFormat/>
    <w:pPr>
      <w:numPr>
        <w:ilvl w:val="3"/>
        <w:numId w:val="1"/>
      </w:numPr>
      <w:jc w:val="start"/>
      <w:outlineLvl w:val="3"/>
    </w:pPr>
    <w:rPr>
      <w:rFonts w:ascii="Arial Black" w:hAnsi="Arial Black" w:cs="Arial Black"/>
      <w:sz w:val="20"/>
    </w:rPr>
  </w:style>
  <w:style w:type="paragraph" w:styleId="Heading5">
    <w:name w:val="heading 5"/>
    <w:basedOn w:val="HeadingBase"/>
    <w:next w:val="BodyText"/>
    <w:qFormat/>
    <w:pPr>
      <w:numPr>
        <w:ilvl w:val="4"/>
        <w:numId w:val="1"/>
      </w:numPr>
      <w:spacing w:before="0" w:after="220"/>
      <w:jc w:val="start"/>
      <w:outlineLvl w:val="4"/>
    </w:pPr>
    <w:rPr>
      <w:rFonts w:ascii="Arial Black" w:hAnsi="Arial Black" w:cs="Arial Black"/>
      <w:sz w:val="16"/>
    </w:rPr>
  </w:style>
  <w:style w:type="paragraph" w:styleId="Heading6">
    <w:name w:val="heading 6"/>
    <w:basedOn w:val="Normal"/>
    <w:next w:val="Normal"/>
    <w:qFormat/>
    <w:pPr>
      <w:numPr>
        <w:ilvl w:val="5"/>
        <w:numId w:val="1"/>
      </w:numPr>
      <w:spacing w:before="240" w:after="60"/>
      <w:jc w:val="both"/>
      <w:outlineLvl w:val="5"/>
    </w:pPr>
    <w:rPr>
      <w:rFonts w:ascii="Arial" w:hAnsi="Arial" w:cs="Arial"/>
      <w:i/>
      <w:sz w:val="22"/>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DefaultParagraphFont">
    <w:name w:val="Default Paragraph Font"/>
    <w:qFormat/>
    <w:rPr/>
  </w:style>
  <w:style w:type="character" w:styleId="Emphasis">
    <w:name w:val="Emphasis"/>
    <w:qFormat/>
    <w:rPr>
      <w:rFonts w:ascii="Arial Black" w:hAnsi="Arial Black" w:cs="Arial Black"/>
      <w:spacing w:val="-8"/>
      <w:sz w:val="18"/>
    </w:rPr>
  </w:style>
  <w:style w:type="character" w:styleId="Job">
    <w:name w:val="Job"/>
    <w:basedOn w:val="DefaultParagraphFont"/>
    <w:qFormat/>
    <w:rPr/>
  </w:style>
  <w:style w:type="character" w:styleId="Lead-inEmphasis">
    <w:name w:val="Lead-in Emphasis"/>
    <w:qFormat/>
    <w:rPr>
      <w:rFonts w:ascii="Arial Black" w:hAnsi="Arial Black" w:cs="Arial Black"/>
      <w:spacing w:val="-6"/>
      <w:sz w:val="18"/>
    </w:rPr>
  </w:style>
  <w:style w:type="character" w:styleId="PageNumber">
    <w:name w:val="page number"/>
    <w:rPr>
      <w:rFonts w:ascii="Arial" w:hAnsi="Arial" w:cs="Arial"/>
      <w:sz w:val="18"/>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20" w:before="0" w:after="220"/>
      <w:jc w:val="both"/>
    </w:pPr>
    <w:rPr>
      <w:rFonts w:ascii="Arial" w:hAnsi="Arial" w:cs="Arial"/>
      <w:spacing w:val="-5"/>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BodyText"/>
    <w:next w:val="BodyText"/>
    <w:qFormat/>
    <w:pPr>
      <w:keepNext w:val="true"/>
      <w:keepLines/>
      <w:spacing w:before="0" w:after="0"/>
    </w:pPr>
    <w:rPr>
      <w:spacing w:val="-4"/>
      <w:sz w:val="18"/>
    </w:rPr>
  </w:style>
  <w:style w:type="paragraph" w:styleId="Achievement">
    <w:name w:val="Achievement"/>
    <w:basedOn w:val="BodyText"/>
    <w:qFormat/>
    <w:pPr>
      <w:numPr>
        <w:ilvl w:val="0"/>
        <w:numId w:val="2"/>
      </w:numPr>
      <w:tabs>
        <w:tab w:val="clear" w:pos="720"/>
      </w:tabs>
      <w:spacing w:before="0" w:after="60"/>
    </w:pPr>
    <w:rPr/>
  </w:style>
  <w:style w:type="paragraph" w:styleId="Address1">
    <w:name w:val="Address 1"/>
    <w:basedOn w:val="Normal"/>
    <w:qFormat/>
    <w:pPr>
      <w:spacing w:lineRule="atLeast" w:line="160"/>
      <w:jc w:val="both"/>
    </w:pPr>
    <w:rPr>
      <w:rFonts w:ascii="Arial" w:hAnsi="Arial" w:cs="Arial"/>
      <w:sz w:val="14"/>
    </w:rPr>
  </w:style>
  <w:style w:type="paragraph" w:styleId="Address2">
    <w:name w:val="Address 2"/>
    <w:basedOn w:val="Normal"/>
    <w:qFormat/>
    <w:pPr>
      <w:spacing w:lineRule="atLeast" w:line="160"/>
      <w:jc w:val="both"/>
    </w:pPr>
    <w:rPr>
      <w:rFonts w:ascii="Arial" w:hAnsi="Arial" w:cs="Arial"/>
      <w:sz w:val="14"/>
    </w:rPr>
  </w:style>
  <w:style w:type="paragraph" w:styleId="BodyTextIndent">
    <w:name w:val="Body Text Indent"/>
    <w:basedOn w:val="BodyText"/>
    <w:pPr>
      <w:ind w:hanging="0" w:start="720" w:end="0"/>
    </w:pPr>
    <w:rPr/>
  </w:style>
  <w:style w:type="paragraph" w:styleId="CityState">
    <w:name w:val="City/State"/>
    <w:basedOn w:val="BodyText"/>
    <w:next w:val="BodyText"/>
    <w:qFormat/>
    <w:pPr>
      <w:keepNext w:val="true"/>
    </w:pPr>
    <w:rPr/>
  </w:style>
  <w:style w:type="paragraph" w:styleId="CompanyName">
    <w:name w:val="Company Name"/>
    <w:basedOn w:val="Normal"/>
    <w:next w:val="Normal"/>
    <w:qFormat/>
    <w:pPr>
      <w:tabs>
        <w:tab w:val="clear" w:pos="720"/>
        <w:tab w:val="left" w:pos="2160" w:leader="none"/>
        <w:tab w:val="right" w:pos="6480" w:leader="none"/>
      </w:tabs>
      <w:spacing w:lineRule="atLeast" w:line="220" w:before="240" w:after="40"/>
    </w:pPr>
    <w:rPr>
      <w:rFonts w:ascii="Arial" w:hAnsi="Arial" w:cs="Arial"/>
    </w:rPr>
  </w:style>
  <w:style w:type="paragraph" w:styleId="CompanyNameOne">
    <w:name w:val="Company Name One"/>
    <w:basedOn w:val="CompanyName"/>
    <w:next w:val="Normal"/>
    <w:qFormat/>
    <w:pPr/>
    <w:rPr/>
  </w:style>
  <w:style w:type="paragraph" w:styleId="Date">
    <w:name w:val="Date"/>
    <w:basedOn w:val="BodyText"/>
    <w:qFormat/>
    <w:pPr>
      <w:keepNext w:val="true"/>
    </w:pPr>
    <w:rPr/>
  </w:style>
  <w:style w:type="paragraph" w:styleId="DocumentLabel">
    <w:name w:val="Document Label"/>
    <w:basedOn w:val="Normal"/>
    <w:next w:val="Normal"/>
    <w:qFormat/>
    <w:pPr>
      <w:spacing w:before="0" w:after="220"/>
      <w:jc w:val="both"/>
    </w:pPr>
    <w:rPr>
      <w:rFonts w:ascii="Arial" w:hAnsi="Arial" w:cs="Arial"/>
      <w:spacing w:val="-20"/>
      <w:sz w:val="48"/>
    </w:rPr>
  </w:style>
  <w:style w:type="paragraph" w:styleId="HeaderBase">
    <w:name w:val="Header Base"/>
    <w:basedOn w:val="Normal"/>
    <w:qFormat/>
    <w:pPr>
      <w:jc w:val="both"/>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tabs>
        <w:tab w:val="clear" w:pos="720"/>
        <w:tab w:val="right" w:pos="6840" w:leader="none"/>
      </w:tabs>
      <w:spacing w:lineRule="atLeast" w:line="220"/>
      <w:ind w:hanging="0" w:start="-2160" w:end="0"/>
    </w:pPr>
    <w:rPr>
      <w:b/>
      <w:sz w:val="18"/>
    </w:rPr>
  </w:style>
  <w:style w:type="paragraph" w:styleId="Header">
    <w:name w:val="header"/>
    <w:basedOn w:val="HeaderBase"/>
    <w:pPr>
      <w:spacing w:lineRule="atLeast" w:line="220"/>
      <w:ind w:hanging="0" w:start="-2160" w:end="0"/>
    </w:pPr>
    <w:rPr/>
  </w:style>
  <w:style w:type="paragraph" w:styleId="Institution">
    <w:name w:val="Institution"/>
    <w:basedOn w:val="Normal"/>
    <w:next w:val="Achievement"/>
    <w:qFormat/>
    <w:pPr>
      <w:tabs>
        <w:tab w:val="clear" w:pos="720"/>
        <w:tab w:val="left" w:pos="-884" w:leader="none"/>
        <w:tab w:val="right" w:pos="8472" w:leader="none"/>
      </w:tabs>
      <w:spacing w:lineRule="atLeast" w:line="220" w:before="240" w:after="60"/>
      <w:ind w:hanging="250" w:start="250" w:end="34"/>
    </w:pPr>
    <w:rPr/>
  </w:style>
  <w:style w:type="paragraph" w:styleId="JobTitle">
    <w:name w:val="Job Title"/>
    <w:next w:val="Achievement"/>
    <w:qFormat/>
    <w:pPr>
      <w:widowControl/>
      <w:bidi w:val="0"/>
      <w:spacing w:lineRule="atLeast" w:line="220" w:before="0" w:after="60"/>
    </w:pPr>
    <w:rPr>
      <w:rFonts w:ascii="Arial Black" w:hAnsi="Arial Black" w:eastAsia="Times New Roman" w:cs="Arial Black"/>
      <w:color w:val="auto"/>
      <w:spacing w:val="-10"/>
      <w:sz w:val="20"/>
      <w:szCs w:val="20"/>
      <w:lang w:val="en-US" w:bidi="ar-SA" w:eastAsia="zh-CN"/>
    </w:rPr>
  </w:style>
  <w:style w:type="paragraph" w:styleId="Name">
    <w:name w:val="Name"/>
    <w:basedOn w:val="Normal"/>
    <w:next w:val="Normal"/>
    <w:qFormat/>
    <w:pPr>
      <w:pBdr>
        <w:bottom w:val="single" w:sz="6" w:space="4" w:color="000000"/>
      </w:pBdr>
      <w:spacing w:lineRule="atLeast" w:line="240" w:before="0" w:after="440"/>
    </w:pPr>
    <w:rPr>
      <w:rFonts w:ascii="Arial Black" w:hAnsi="Arial Black" w:cs="Arial Black"/>
      <w:spacing w:val="-35"/>
      <w:sz w:val="54"/>
    </w:rPr>
  </w:style>
  <w:style w:type="paragraph" w:styleId="SectionTitle">
    <w:name w:val="Section Title"/>
    <w:basedOn w:val="Normal"/>
    <w:next w:val="Normal"/>
    <w:qFormat/>
    <w:pPr>
      <w:spacing w:lineRule="atLeast" w:line="220" w:before="220" w:after="0"/>
    </w:pPr>
    <w:rPr>
      <w:rFonts w:ascii="Arial Black" w:hAnsi="Arial Black" w:cs="Arial Black"/>
      <w:spacing w:val="-10"/>
    </w:rPr>
  </w:style>
  <w:style w:type="paragraph" w:styleId="NoTitle">
    <w:name w:val="No Title"/>
    <w:basedOn w:val="SectionTitle"/>
    <w:qFormat/>
    <w:pPr/>
    <w:rPr/>
  </w:style>
  <w:style w:type="paragraph" w:styleId="Objective">
    <w:name w:val="Objective"/>
    <w:basedOn w:val="Normal"/>
    <w:next w:val="BodyText"/>
    <w:qFormat/>
    <w:pPr>
      <w:spacing w:lineRule="atLeast" w:line="220" w:before="240" w:after="220"/>
    </w:pPr>
    <w:rPr/>
  </w:style>
  <w:style w:type="paragraph" w:styleId="PersonalData">
    <w:name w:val="Personal Data"/>
    <w:basedOn w:val="BodyText"/>
    <w:qFormat/>
    <w:pPr>
      <w:spacing w:lineRule="exact" w:line="240" w:before="0" w:after="120"/>
      <w:ind w:hanging="0" w:start="-1080" w:end="1080"/>
    </w:pPr>
    <w:rPr>
      <w:i/>
      <w:spacing w:val="0"/>
      <w:sz w:val="22"/>
    </w:rPr>
  </w:style>
  <w:style w:type="paragraph" w:styleId="PersonalInfo">
    <w:name w:val="Personal Info"/>
    <w:basedOn w:val="Achievement"/>
    <w:next w:val="Achievement"/>
    <w:qFormat/>
    <w:pPr>
      <w:numPr>
        <w:ilvl w:val="0"/>
        <w:numId w:val="0"/>
      </w:numPr>
      <w:spacing w:before="240" w:after="60"/>
      <w:ind w:hanging="245" w:start="245" w:end="0"/>
    </w:pPr>
    <w:rPr/>
  </w:style>
  <w:style w:type="paragraph" w:styleId="SectionSubtitle">
    <w:name w:val="Section Subtitle"/>
    <w:basedOn w:val="SectionTitle"/>
    <w:next w:val="Normal"/>
    <w:qFormat/>
    <w:pPr>
      <w:jc w:val="start"/>
    </w:pPr>
    <w:rPr>
      <w:b/>
      <w:spacing w:val="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avid.goldman@btinternet.com" TargetMode="External"/><Relationship Id="rId3" Type="http://schemas.openxmlformats.org/officeDocument/2006/relationships/hyperlink" Target="mailto:david.goldman@btinternet.co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Professional Resume</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2001-10-01T14:04:00Z</dcterms:created>
  <dc:creator>David Goldman</dc:creator>
  <dc:description/>
  <dc:language>en-CA</dc:language>
  <cp:lastModifiedBy>ldelgado</cp:lastModifiedBy>
  <cp:lastPrinted>2001-10-01T11:34:00Z</cp:lastPrinted>
  <dcterms:modified xsi:type="dcterms:W3CDTF">2001-10-01T14:04:00Z</dcterms:modified>
  <cp:revision>2</cp:revision>
  <dc:subject/>
  <dc:title>Resume</dc:title>
</cp:coreProperties>
</file>