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8540" w:type="dxa"/>
        <w:jc w:val="start"/>
        <w:tblInd w:w="-432" w:type="dxa"/>
        <w:tblLayout w:type="fixed"/>
        <w:tblCellMar>
          <w:top w:w="0" w:type="dxa"/>
          <w:start w:w="108" w:type="dxa"/>
          <w:bottom w:w="0" w:type="dxa"/>
          <w:end w:w="108" w:type="dxa"/>
        </w:tblCellMar>
      </w:tblPr>
      <w:tblGrid>
        <w:gridCol w:w="1440"/>
        <w:gridCol w:w="990"/>
        <w:gridCol w:w="1440"/>
        <w:gridCol w:w="2790"/>
        <w:gridCol w:w="1620"/>
        <w:gridCol w:w="2700"/>
        <w:gridCol w:w="4050"/>
        <w:gridCol w:w="3510"/>
      </w:tblGrid>
      <w:tr>
        <w:trPr/>
        <w:tc>
          <w:tcPr>
            <w:tcW w:w="18540" w:type="dxa"/>
            <w:gridSpan w:val="8"/>
            <w:tcBorders>
              <w:top w:val="single" w:sz="4" w:space="0" w:color="000000"/>
              <w:start w:val="single" w:sz="4" w:space="0" w:color="000000"/>
              <w:bottom w:val="single" w:sz="4" w:space="0" w:color="000000"/>
              <w:end w:val="single" w:sz="4" w:space="0" w:color="000000"/>
            </w:tcBorders>
            <w:shd w:fill="FFFF00" w:val="clear"/>
          </w:tcPr>
          <w:p>
            <w:pPr>
              <w:pStyle w:val="Heading5"/>
              <w:ind w:hanging="0" w:start="0"/>
              <w:rPr>
                <w:i w:val="false"/>
                <w:i w:val="false"/>
                <w:sz w:val="24"/>
              </w:rPr>
            </w:pPr>
            <w:r>
              <w:rPr>
                <w:i w:val="false"/>
                <w:sz w:val="24"/>
              </w:rPr>
              <w:t>Project Objective</w:t>
            </w:r>
          </w:p>
        </w:tc>
      </w:tr>
      <w:tr>
        <w:trPr/>
        <w:tc>
          <w:tcPr>
            <w:tcW w:w="18540" w:type="dxa"/>
            <w:gridSpan w:val="8"/>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 w:val="left" w:pos="2520" w:leader="none"/>
                <w:tab w:val="left" w:pos="2700" w:leader="none"/>
              </w:tabs>
              <w:rPr>
                <w:sz w:val="20"/>
              </w:rPr>
            </w:pPr>
            <w:r>
              <w:rPr>
                <w:color w:val="000000"/>
                <w:sz w:val="20"/>
                <w:lang w:eastAsia="en-US"/>
              </w:rPr>
              <w:t>The scope of our review is designed to understand and identify key control mechanisms within ENA's Oracle, Sybase, and Microsoft SQL Server environment in accordance with the 2000 Business Audit Plan.  Our audit procedures included interviews with key ENA personnel, review and assessment of available policy and procedure documentation and appropriate levels of testing necessary to identify strengths and weaknesses related to the existing control environment.</w:t>
            </w:r>
          </w:p>
        </w:tc>
      </w:tr>
      <w:tr>
        <w:trPr/>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Project Name</w:t>
            </w:r>
          </w:p>
        </w:tc>
        <w:tc>
          <w:tcPr>
            <w:tcW w:w="99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79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62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shd w:fill="FF0000" w:val="clear"/>
              </w:rPr>
              <w:t>Objective Met?</w:t>
            </w:r>
          </w:p>
        </w:tc>
        <w:tc>
          <w:tcPr>
            <w:tcW w:w="2700"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405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351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jc w:val="center"/>
              <w:rPr>
                <w:b/>
                <w:sz w:val="24"/>
              </w:rPr>
            </w:pPr>
            <w:r>
              <w:rPr>
                <w:b/>
                <w:sz w:val="24"/>
              </w:rPr>
              <w:t>Person &amp; Target Date</w:t>
            </w:r>
          </w:p>
        </w:tc>
      </w:tr>
      <w:tr>
        <w:trPr>
          <w:trHeight w:val="1560" w:hRule="atLeast"/>
        </w:trPr>
        <w:tc>
          <w:tcPr>
            <w:tcW w:w="1440" w:type="dxa"/>
            <w:tcBorders>
              <w:top w:val="single" w:sz="6" w:space="0" w:color="000000"/>
              <w:start w:val="single" w:sz="6" w:space="0" w:color="000000"/>
              <w:bottom w:val="single" w:sz="6" w:space="0" w:color="000000"/>
              <w:end w:val="single" w:sz="6" w:space="0" w:color="000000"/>
            </w:tcBorders>
          </w:tcPr>
          <w:p>
            <w:pPr>
              <w:pStyle w:val="Normal"/>
              <w:rPr>
                <w:sz w:val="18"/>
                <w:u w:val="single"/>
              </w:rPr>
            </w:pPr>
            <w:r>
              <w:rPr>
                <w:sz w:val="18"/>
                <w:u w:val="single"/>
              </w:rPr>
              <w:t>Database System Management</w:t>
            </w:r>
          </w:p>
        </w:tc>
        <w:tc>
          <w:tcPr>
            <w:tcW w:w="99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Systems</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Systems Availability</w:t>
            </w:r>
          </w:p>
          <w:p>
            <w:pPr>
              <w:pStyle w:val="Normal"/>
              <w:tabs>
                <w:tab w:val="clear" w:pos="720"/>
                <w:tab w:val="left" w:pos="2520" w:leader="none"/>
              </w:tabs>
              <w:rPr>
                <w:sz w:val="18"/>
              </w:rPr>
            </w:pPr>
            <w:r>
              <w:rPr>
                <w:sz w:val="18"/>
              </w:rPr>
            </w:r>
          </w:p>
          <w:p>
            <w:pPr>
              <w:pStyle w:val="Normal"/>
              <w:tabs>
                <w:tab w:val="clear" w:pos="720"/>
                <w:tab w:val="left" w:pos="2520" w:leader="none"/>
              </w:tabs>
              <w:rPr>
                <w:sz w:val="18"/>
              </w:rPr>
            </w:pPr>
            <w:r>
              <w:rPr>
                <w:sz w:val="18"/>
              </w:rPr>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Data recovery/backup processes are adequate to protect critical data and maintain data availability.</w:t>
            </w:r>
          </w:p>
          <w:p>
            <w:pPr>
              <w:pStyle w:val="Normal"/>
              <w:tabs>
                <w:tab w:val="clear" w:pos="720"/>
                <w:tab w:val="left" w:pos="2520" w:leader="none"/>
              </w:tabs>
              <w:rPr>
                <w:sz w:val="18"/>
              </w:rPr>
            </w:pPr>
            <w:r>
              <w:rPr>
                <w:sz w:val="18"/>
              </w:rPr>
            </w:r>
          </w:p>
          <w:p>
            <w:pPr>
              <w:pStyle w:val="Normal"/>
              <w:tabs>
                <w:tab w:val="clear" w:pos="720"/>
                <w:tab w:val="left" w:pos="2520" w:leader="none"/>
              </w:tabs>
              <w:rPr>
                <w:sz w:val="18"/>
              </w:rPr>
            </w:pPr>
            <w:r>
              <w:rPr>
                <w:sz w:val="18"/>
              </w:rPr>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700" w:type="dxa"/>
            <w:tcBorders>
              <w:top w:val="single" w:sz="6" w:space="0" w:color="000000"/>
              <w:start w:val="single" w:sz="6" w:space="0" w:color="000000"/>
              <w:bottom w:val="single" w:sz="6" w:space="0" w:color="000000"/>
              <w:end w:val="single" w:sz="6" w:space="0" w:color="000000"/>
            </w:tcBorders>
          </w:tcPr>
          <w:p>
            <w:pPr>
              <w:pStyle w:val="Normal"/>
              <w:numPr>
                <w:ilvl w:val="0"/>
                <w:numId w:val="12"/>
              </w:numPr>
              <w:rPr>
                <w:sz w:val="18"/>
              </w:rPr>
            </w:pPr>
            <w:r>
              <w:rPr>
                <w:sz w:val="18"/>
              </w:rPr>
              <w:t>Data backups are tested when used to refresh development and staging environments.</w:t>
            </w:r>
          </w:p>
        </w:tc>
        <w:tc>
          <w:tcPr>
            <w:tcW w:w="4050" w:type="dxa"/>
            <w:tcBorders>
              <w:top w:val="single" w:sz="6" w:space="0" w:color="000000"/>
              <w:start w:val="single" w:sz="6" w:space="0" w:color="000000"/>
              <w:bottom w:val="single" w:sz="6" w:space="0" w:color="000000"/>
              <w:end w:val="single" w:sz="6" w:space="0" w:color="000000"/>
            </w:tcBorders>
          </w:tcPr>
          <w:p>
            <w:pPr>
              <w:pStyle w:val="BodyText3"/>
              <w:numPr>
                <w:ilvl w:val="0"/>
                <w:numId w:val="20"/>
              </w:numPr>
              <w:rPr>
                <w:b w:val="false"/>
                <w:i w:val="false"/>
                <w:i w:val="false"/>
              </w:rPr>
            </w:pPr>
            <w:r>
              <w:rPr>
                <w:b w:val="false"/>
                <w:i w:val="false"/>
              </w:rPr>
              <w:t>None noted</w:t>
            </w:r>
          </w:p>
        </w:tc>
        <w:tc>
          <w:tcPr>
            <w:tcW w:w="3510" w:type="dxa"/>
            <w:tcBorders>
              <w:top w:val="single" w:sz="6" w:space="0" w:color="000000"/>
              <w:start w:val="single" w:sz="6" w:space="0" w:color="000000"/>
              <w:bottom w:val="single" w:sz="6" w:space="0" w:color="000000"/>
              <w:end w:val="single" w:sz="6" w:space="0" w:color="000000"/>
            </w:tcBorders>
          </w:tcPr>
          <w:p>
            <w:pPr>
              <w:pStyle w:val="BodyText3"/>
              <w:snapToGrid w:val="false"/>
              <w:rPr>
                <w:b w:val="false"/>
                <w:i w:val="false"/>
                <w:i w:val="false"/>
              </w:rPr>
            </w:pPr>
            <w:r>
              <w:rPr>
                <w:b w:val="false"/>
                <w:i w:val="false"/>
              </w:rPr>
            </w:r>
          </w:p>
          <w:p>
            <w:pPr>
              <w:pStyle w:val="BodyText3"/>
              <w:rPr>
                <w:b w:val="false"/>
                <w:i w:val="false"/>
                <w:i w:val="false"/>
              </w:rPr>
            </w:pPr>
            <w:r>
              <w:rPr>
                <w:b w:val="false"/>
                <w:i w:val="false"/>
              </w:rPr>
            </w:r>
          </w:p>
          <w:p>
            <w:pPr>
              <w:pStyle w:val="BodyText3"/>
              <w:rPr>
                <w:b w:val="false"/>
                <w:i w:val="false"/>
                <w:i w:val="false"/>
              </w:rPr>
            </w:pPr>
            <w:r>
              <w:rPr>
                <w:b w:val="false"/>
                <w:i w:val="false"/>
              </w:rPr>
            </w:r>
          </w:p>
          <w:p>
            <w:pPr>
              <w:pStyle w:val="BodyText3"/>
              <w:rPr>
                <w:b w:val="false"/>
                <w:i w:val="false"/>
                <w:i w:val="false"/>
              </w:rPr>
            </w:pPr>
            <w:r>
              <w:rPr>
                <w:b w:val="false"/>
                <w:i w:val="false"/>
              </w:rPr>
            </w:r>
          </w:p>
        </w:tc>
      </w:tr>
      <w:tr>
        <w:trPr>
          <w:trHeight w:val="1164" w:hRule="atLeast"/>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val="false"/>
                <w:i/>
                <w:i/>
                <w:sz w:val="18"/>
                <w:u w:val="single"/>
              </w:rPr>
            </w:pPr>
            <w:r>
              <w:rPr>
                <w:b w:val="false"/>
                <w:i/>
                <w:sz w:val="18"/>
                <w:u w:val="single"/>
              </w:rPr>
            </w:r>
          </w:p>
        </w:tc>
        <w:tc>
          <w:tcPr>
            <w:tcW w:w="99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Systems</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Access and Security</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Policies and procedures over change management are adequate to protect data integrity.</w:t>
            </w:r>
          </w:p>
          <w:p>
            <w:pPr>
              <w:pStyle w:val="Normal"/>
              <w:tabs>
                <w:tab w:val="clear" w:pos="720"/>
                <w:tab w:val="left" w:pos="2520" w:leader="none"/>
              </w:tabs>
              <w:rPr>
                <w:sz w:val="18"/>
              </w:rPr>
            </w:pPr>
            <w:r>
              <w:rPr>
                <w:sz w:val="18"/>
              </w:rPr>
            </w:r>
          </w:p>
          <w:p>
            <w:pPr>
              <w:pStyle w:val="AIOCNORMAL"/>
              <w:rPr>
                <w:sz w:val="18"/>
              </w:rPr>
            </w:pPr>
            <w:r>
              <w:rPr>
                <w:sz w:val="18"/>
              </w:rPr>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No</w:t>
            </w:r>
          </w:p>
        </w:tc>
        <w:tc>
          <w:tcPr>
            <w:tcW w:w="2700" w:type="dxa"/>
            <w:tcBorders>
              <w:top w:val="single" w:sz="6" w:space="0" w:color="000000"/>
              <w:start w:val="single" w:sz="6" w:space="0" w:color="000000"/>
              <w:bottom w:val="single" w:sz="6" w:space="0" w:color="000000"/>
              <w:end w:val="single" w:sz="6" w:space="0" w:color="000000"/>
            </w:tcBorders>
          </w:tcPr>
          <w:p>
            <w:pPr>
              <w:pStyle w:val="Normal"/>
              <w:numPr>
                <w:ilvl w:val="0"/>
                <w:numId w:val="12"/>
              </w:numPr>
              <w:rPr>
                <w:sz w:val="18"/>
              </w:rPr>
            </w:pPr>
            <w:r>
              <w:rPr>
                <w:sz w:val="18"/>
              </w:rPr>
              <w:t>None</w:t>
            </w:r>
          </w:p>
        </w:tc>
        <w:tc>
          <w:tcPr>
            <w:tcW w:w="4050" w:type="dxa"/>
            <w:tcBorders>
              <w:top w:val="single" w:sz="6" w:space="0" w:color="000000"/>
              <w:start w:val="single" w:sz="6" w:space="0" w:color="000000"/>
              <w:bottom w:val="single" w:sz="6" w:space="0" w:color="000000"/>
              <w:end w:val="single" w:sz="6" w:space="0" w:color="000000"/>
            </w:tcBorders>
          </w:tcPr>
          <w:p>
            <w:pPr>
              <w:pStyle w:val="Normal"/>
              <w:numPr>
                <w:ilvl w:val="0"/>
                <w:numId w:val="19"/>
              </w:numPr>
              <w:tabs>
                <w:tab w:val="clear" w:pos="720"/>
                <w:tab w:val="left" w:pos="252" w:leader="none"/>
              </w:tabs>
              <w:rPr>
                <w:sz w:val="18"/>
              </w:rPr>
            </w:pPr>
            <w:r>
              <w:rPr>
                <w:sz w:val="18"/>
              </w:rPr>
              <w:t xml:space="preserve">Policies and procedures for change control and migration are not documented. </w:t>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numPr>
                <w:ilvl w:val="0"/>
                <w:numId w:val="19"/>
              </w:numPr>
              <w:tabs>
                <w:tab w:val="clear" w:pos="720"/>
                <w:tab w:val="left" w:pos="252" w:leader="none"/>
              </w:tabs>
              <w:rPr>
                <w:sz w:val="18"/>
              </w:rPr>
            </w:pPr>
            <w:r>
              <w:rPr>
                <w:sz w:val="18"/>
              </w:rPr>
              <w:t xml:space="preserve">A system audit trail is not being utilized to capture and monitor changes to the database structure. </w:t>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tc>
        <w:tc>
          <w:tcPr>
            <w:tcW w:w="3510" w:type="dxa"/>
            <w:tcBorders>
              <w:top w:val="single" w:sz="6" w:space="0" w:color="000000"/>
              <w:start w:val="single" w:sz="6" w:space="0" w:color="000000"/>
              <w:bottom w:val="single" w:sz="6" w:space="0" w:color="000000"/>
              <w:end w:val="single" w:sz="6" w:space="0" w:color="000000"/>
            </w:tcBorders>
          </w:tcPr>
          <w:p>
            <w:pPr>
              <w:pStyle w:val="Normal"/>
              <w:numPr>
                <w:ilvl w:val="0"/>
                <w:numId w:val="19"/>
              </w:numPr>
              <w:tabs>
                <w:tab w:val="clear" w:pos="720"/>
                <w:tab w:val="left" w:pos="252" w:leader="none"/>
              </w:tabs>
              <w:rPr>
                <w:sz w:val="18"/>
              </w:rPr>
            </w:pPr>
            <w:r>
              <w:rPr>
                <w:sz w:val="18"/>
              </w:rPr>
              <w:t>This process should be documented to ensure a consistent and appropriate method for authorizing and applying changes to production databases.  In addition, application lead should sign-off to development prior to DBAs migrating changes to production.</w:t>
            </w:r>
          </w:p>
          <w:p>
            <w:pPr>
              <w:pStyle w:val="Normal"/>
              <w:tabs>
                <w:tab w:val="clear" w:pos="720"/>
                <w:tab w:val="left" w:pos="252" w:leader="none"/>
              </w:tabs>
              <w:rPr>
                <w:sz w:val="18"/>
              </w:rPr>
            </w:pPr>
            <w:r>
              <w:rPr>
                <w:sz w:val="18"/>
              </w:rPr>
            </w:r>
          </w:p>
          <w:p>
            <w:pPr>
              <w:pStyle w:val="Normal"/>
              <w:numPr>
                <w:ilvl w:val="0"/>
                <w:numId w:val="16"/>
              </w:numPr>
              <w:rPr>
                <w:sz w:val="18"/>
              </w:rPr>
            </w:pPr>
            <w:r>
              <w:rPr>
                <w:sz w:val="18"/>
              </w:rPr>
              <w:t>A database audit trail should be used to independently review/monitor DBA actions as well as other users with extensive, direct access to the database to ensure only authorized changes to the database structure.</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c>
      </w:tr>
    </w:tbl>
    <w:p>
      <w:pPr>
        <w:pStyle w:val="Normal"/>
        <w:rPr/>
      </w:pPr>
      <w:r>
        <w:rPr/>
      </w:r>
    </w:p>
    <w:p>
      <w:pPr>
        <w:pStyle w:val="Normal"/>
        <w:rPr/>
      </w:pPr>
      <w:r>
        <w:rPr/>
      </w:r>
    </w:p>
    <w:tbl>
      <w:tblPr>
        <w:tblW w:w="18540" w:type="dxa"/>
        <w:jc w:val="start"/>
        <w:tblInd w:w="-432" w:type="dxa"/>
        <w:tblLayout w:type="fixed"/>
        <w:tblCellMar>
          <w:top w:w="0" w:type="dxa"/>
          <w:start w:w="108" w:type="dxa"/>
          <w:bottom w:w="0" w:type="dxa"/>
          <w:end w:w="108" w:type="dxa"/>
        </w:tblCellMar>
      </w:tblPr>
      <w:tblGrid>
        <w:gridCol w:w="1080"/>
        <w:gridCol w:w="1350"/>
        <w:gridCol w:w="1440"/>
        <w:gridCol w:w="2790"/>
        <w:gridCol w:w="1620"/>
        <w:gridCol w:w="2700"/>
        <w:gridCol w:w="4050"/>
        <w:gridCol w:w="3510"/>
      </w:tblGrid>
      <w:tr>
        <w:trPr>
          <w:tblHeader w:val="true"/>
        </w:trPr>
        <w:tc>
          <w:tcPr>
            <w:tcW w:w="108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Project Name</w:t>
            </w:r>
          </w:p>
        </w:tc>
        <w:tc>
          <w:tcPr>
            <w:tcW w:w="135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79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62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shd w:fill="FF0000" w:val="clear"/>
              </w:rPr>
              <w:t>Objective Met?</w:t>
            </w:r>
          </w:p>
        </w:tc>
        <w:tc>
          <w:tcPr>
            <w:tcW w:w="2700"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405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351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jc w:val="center"/>
              <w:rPr>
                <w:b/>
                <w:sz w:val="24"/>
              </w:rPr>
            </w:pPr>
            <w:r>
              <w:rPr>
                <w:b/>
                <w:sz w:val="24"/>
              </w:rPr>
              <w:t>Person &amp; Target Date</w:t>
            </w:r>
          </w:p>
        </w:tc>
      </w:tr>
      <w:tr>
        <w:trPr>
          <w:trHeight w:val="1506" w:hRule="atLeast"/>
        </w:trPr>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18"/>
                <w:u w:val="single"/>
              </w:rPr>
            </w:pPr>
            <w:r>
              <w:rPr>
                <w:b/>
                <w:i/>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i/>
                <w:i/>
                <w:sz w:val="18"/>
                <w:u w:val="single"/>
              </w:rPr>
            </w:pPr>
            <w:r>
              <w:rPr>
                <w:i/>
                <w:sz w:val="18"/>
                <w:u w:val="single"/>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Access and Security</w:t>
            </w:r>
          </w:p>
        </w:tc>
        <w:tc>
          <w:tcPr>
            <w:tcW w:w="2790" w:type="dxa"/>
            <w:tcBorders>
              <w:top w:val="single" w:sz="6" w:space="0" w:color="000000"/>
              <w:start w:val="single" w:sz="6" w:space="0" w:color="000000"/>
              <w:bottom w:val="single" w:sz="6" w:space="0" w:color="000000"/>
              <w:end w:val="single" w:sz="6" w:space="0" w:color="000000"/>
            </w:tcBorders>
          </w:tcPr>
          <w:p>
            <w:pPr>
              <w:pStyle w:val="ListBullet3"/>
              <w:rPr/>
            </w:pPr>
            <w:r>
              <w:rPr/>
              <w:t>Logical security provides adequate protection over critical data.</w:t>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No</w:t>
            </w:r>
          </w:p>
        </w:tc>
        <w:tc>
          <w:tcPr>
            <w:tcW w:w="2700" w:type="dxa"/>
            <w:tcBorders>
              <w:top w:val="single" w:sz="6" w:space="0" w:color="000000"/>
              <w:start w:val="single" w:sz="6" w:space="0" w:color="000000"/>
              <w:bottom w:val="single" w:sz="6" w:space="0" w:color="000000"/>
              <w:end w:val="single" w:sz="6" w:space="0" w:color="000000"/>
            </w:tcBorders>
          </w:tcPr>
          <w:p>
            <w:pPr>
              <w:pStyle w:val="Normal"/>
              <w:numPr>
                <w:ilvl w:val="0"/>
                <w:numId w:val="12"/>
              </w:numPr>
              <w:rPr>
                <w:sz w:val="18"/>
              </w:rPr>
            </w:pPr>
            <w:r>
              <w:rPr>
                <w:sz w:val="18"/>
              </w:rPr>
              <w:t>None</w:t>
            </w:r>
          </w:p>
        </w:tc>
        <w:tc>
          <w:tcPr>
            <w:tcW w:w="4050" w:type="dxa"/>
            <w:tcBorders>
              <w:top w:val="single" w:sz="6" w:space="0" w:color="000000"/>
              <w:start w:val="single" w:sz="6" w:space="0" w:color="000000"/>
              <w:bottom w:val="single" w:sz="6" w:space="0" w:color="000000"/>
              <w:end w:val="single" w:sz="6" w:space="0" w:color="000000"/>
            </w:tcBorders>
          </w:tcPr>
          <w:p>
            <w:pPr>
              <w:pStyle w:val="Normal"/>
              <w:numPr>
                <w:ilvl w:val="0"/>
                <w:numId w:val="11"/>
              </w:numPr>
              <w:tabs>
                <w:tab w:val="clear" w:pos="720"/>
                <w:tab w:val="left" w:pos="2160" w:leader="none"/>
              </w:tabs>
              <w:rPr>
                <w:sz w:val="18"/>
              </w:rPr>
            </w:pPr>
            <w:r>
              <w:rPr>
                <w:sz w:val="18"/>
              </w:rPr>
              <w:t>Users who gain direct access to production database tables using OBDC may gain unauthorized privileges not granted through application level security.  For example, a</w:t>
            </w:r>
            <w:r>
              <w:rPr>
                <w:color w:val="000000"/>
                <w:sz w:val="18"/>
              </w:rPr>
              <w:t>ll new Unify users are a member of the ‘PUBLIC’ group b</w:t>
            </w:r>
            <w:r>
              <w:rPr>
                <w:sz w:val="18"/>
              </w:rPr>
              <w:t>y default.  This group is</w:t>
            </w:r>
            <w:r>
              <w:rPr>
                <w:color w:val="000000"/>
                <w:sz w:val="18"/>
              </w:rPr>
              <w:t xml:space="preserve"> granted full insert, update, and delete privileges at the database level.</w:t>
            </w:r>
          </w:p>
          <w:p>
            <w:pPr>
              <w:pStyle w:val="Normal"/>
              <w:tabs>
                <w:tab w:val="clear" w:pos="720"/>
                <w:tab w:val="left" w:pos="2160" w:leader="none"/>
              </w:tabs>
              <w:rPr>
                <w:color w:val="000000"/>
                <w:sz w:val="18"/>
              </w:rPr>
            </w:pPr>
            <w:r>
              <w:rPr>
                <w:color w:val="000000"/>
                <w:sz w:val="18"/>
              </w:rPr>
            </w:r>
          </w:p>
          <w:p>
            <w:pPr>
              <w:pStyle w:val="Normal"/>
              <w:tabs>
                <w:tab w:val="clear" w:pos="720"/>
                <w:tab w:val="left" w:pos="2160" w:leader="none"/>
              </w:tabs>
              <w:rPr>
                <w:color w:val="000000"/>
                <w:sz w:val="18"/>
              </w:rPr>
            </w:pPr>
            <w:r>
              <w:rPr>
                <w:color w:val="000000"/>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numPr>
                <w:ilvl w:val="0"/>
                <w:numId w:val="19"/>
              </w:numPr>
              <w:tabs>
                <w:tab w:val="clear" w:pos="720"/>
                <w:tab w:val="left" w:pos="252" w:leader="none"/>
              </w:tabs>
              <w:rPr>
                <w:sz w:val="18"/>
              </w:rPr>
            </w:pPr>
            <w:r>
              <w:rPr>
                <w:color w:val="000000"/>
                <w:sz w:val="18"/>
              </w:rPr>
              <w:t>Application developers have update access privileges to the production environment.  According to the Minimum IT Controls Standards, the system administration and development functions should be separated and application developers should be limited to read-only access in the production environment.  By not restricting developer access to the production environment, management has limited assurance that the integrity of production data is maintained.</w:t>
            </w:r>
          </w:p>
          <w:p>
            <w:pPr>
              <w:pStyle w:val="Normal"/>
              <w:tabs>
                <w:tab w:val="clear" w:pos="720"/>
                <w:tab w:val="left" w:pos="252" w:leader="none"/>
              </w:tabs>
              <w:rPr>
                <w:sz w:val="18"/>
              </w:rPr>
            </w:pPr>
            <w:r>
              <w:rPr>
                <w:sz w:val="18"/>
              </w:rPr>
            </w:r>
          </w:p>
          <w:p>
            <w:pPr>
              <w:pStyle w:val="Normal"/>
              <w:numPr>
                <w:ilvl w:val="0"/>
                <w:numId w:val="13"/>
              </w:numPr>
              <w:tabs>
                <w:tab w:val="clear" w:pos="720"/>
                <w:tab w:val="left" w:pos="252" w:leader="none"/>
              </w:tabs>
              <w:rPr>
                <w:sz w:val="18"/>
              </w:rPr>
            </w:pPr>
            <w:r>
              <w:rPr>
                <w:color w:val="000000"/>
                <w:sz w:val="18"/>
              </w:rPr>
              <w:t>Database Administrator (DBA) access to the databases is granted through one generic DBA ID and password.  Although the password is changed when a DBA leaves the group, this prohibits direct accountability for a DBA’s activity.  According to Minimum IT Controls Standards, all accounts should have a unique username and password.</w:t>
            </w:r>
          </w:p>
          <w:p>
            <w:pPr>
              <w:pStyle w:val="Normal"/>
              <w:tabs>
                <w:tab w:val="clear" w:pos="720"/>
                <w:tab w:val="left" w:pos="252" w:leader="none"/>
              </w:tabs>
              <w:rPr>
                <w:sz w:val="18"/>
              </w:rPr>
            </w:pPr>
            <w:r>
              <w:rPr>
                <w:sz w:val="18"/>
              </w:rPr>
            </w:r>
          </w:p>
          <w:p>
            <w:pPr>
              <w:pStyle w:val="Normal"/>
              <w:numPr>
                <w:ilvl w:val="0"/>
                <w:numId w:val="11"/>
              </w:numPr>
              <w:tabs>
                <w:tab w:val="clear" w:pos="720"/>
                <w:tab w:val="left" w:pos="2160" w:leader="none"/>
              </w:tabs>
              <w:rPr>
                <w:sz w:val="18"/>
              </w:rPr>
            </w:pPr>
            <w:r>
              <w:rPr>
                <w:color w:val="000000"/>
                <w:sz w:val="18"/>
                <w:lang w:eastAsia="en-US"/>
              </w:rPr>
              <w:t>Terminated employees’ usernames have not been removed from the database.</w:t>
            </w:r>
          </w:p>
        </w:tc>
        <w:tc>
          <w:tcPr>
            <w:tcW w:w="3510" w:type="dxa"/>
            <w:tcBorders>
              <w:top w:val="single" w:sz="6" w:space="0" w:color="000000"/>
              <w:start w:val="single" w:sz="6" w:space="0" w:color="000000"/>
              <w:bottom w:val="single" w:sz="6" w:space="0" w:color="000000"/>
              <w:end w:val="single" w:sz="6" w:space="0" w:color="000000"/>
            </w:tcBorders>
          </w:tcPr>
          <w:p>
            <w:pPr>
              <w:pStyle w:val="Normal"/>
              <w:numPr>
                <w:ilvl w:val="0"/>
                <w:numId w:val="16"/>
              </w:numPr>
              <w:rPr>
                <w:sz w:val="18"/>
              </w:rPr>
            </w:pPr>
            <w:r>
              <w:rPr>
                <w:color w:val="000000"/>
                <w:sz w:val="18"/>
                <w:lang w:eastAsia="en-US"/>
              </w:rPr>
              <w:t>The risk associated with users accessing the database directly using an ODBC tool may be mitigated by authenticating the user at the Operating System level combined with the use of roles enabled by the application.  Using this method, the privileged roles assigned the user would be disabled and password protected by default.  These roles would be enabled when users connected to the database through the application, but would remain disabled otherwise.</w:t>
            </w:r>
          </w:p>
          <w:p>
            <w:pPr>
              <w:pStyle w:val="Normal"/>
              <w:rPr>
                <w:sz w:val="18"/>
              </w:rPr>
            </w:pPr>
            <w:r>
              <w:rPr>
                <w:sz w:val="18"/>
              </w:rPr>
            </w:r>
          </w:p>
          <w:p>
            <w:pPr>
              <w:pStyle w:val="Normal"/>
              <w:numPr>
                <w:ilvl w:val="0"/>
                <w:numId w:val="15"/>
              </w:numPr>
              <w:rPr>
                <w:sz w:val="18"/>
              </w:rPr>
            </w:pPr>
            <w:r>
              <w:rPr>
                <w:sz w:val="18"/>
              </w:rPr>
              <w:t>Application developer's access privileges within the production databases should be limited to read-only or monitor their actions through the use of an audit trail.</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numPr>
                <w:ilvl w:val="0"/>
                <w:numId w:val="16"/>
              </w:numPr>
              <w:rPr>
                <w:sz w:val="18"/>
              </w:rPr>
            </w:pPr>
            <w:r>
              <w:rPr>
                <w:sz w:val="18"/>
              </w:rPr>
              <w:t>All database administrators should gain access to the databases through a unique username and password.  This along with utilization of an audit trail would provide individual accountability.</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numPr>
                <w:ilvl w:val="0"/>
                <w:numId w:val="16"/>
              </w:numPr>
              <w:rPr>
                <w:sz w:val="18"/>
              </w:rPr>
            </w:pPr>
            <w:r>
              <w:rPr>
                <w:color w:val="000000"/>
                <w:sz w:val="18"/>
                <w:lang w:eastAsia="en-US"/>
              </w:rPr>
              <w:t>Failure to remove employee access in a timely manner is a result of having an ineffective process to accurately track and communicate changes in the employment status of ENA.</w:t>
            </w:r>
          </w:p>
          <w:p>
            <w:pPr>
              <w:pStyle w:val="Normal"/>
              <w:rPr>
                <w:sz w:val="18"/>
              </w:rPr>
            </w:pPr>
            <w:r>
              <w:rPr>
                <w:sz w:val="18"/>
              </w:rPr>
            </w:r>
          </w:p>
        </w:tc>
      </w:tr>
    </w:tbl>
    <w:p>
      <w:pPr>
        <w:pStyle w:val="Header"/>
        <w:tabs>
          <w:tab w:val="clear" w:pos="4320"/>
          <w:tab w:val="clear" w:pos="8640"/>
        </w:tabs>
        <w:rPr/>
      </w:pPr>
      <w:r>
        <w:rPr/>
      </w:r>
    </w:p>
    <w:sectPr>
      <w:headerReference w:type="default" r:id="rId2"/>
      <w:footerReference w:type="default" r:id="rId3"/>
      <w:type w:val="nextPage"/>
      <w:pgSz w:orient="landscape" w:w="20160" w:h="12240"/>
      <w:pgMar w:left="1440" w:right="1440" w:gutter="0" w:header="720" w:top="1800" w:footer="720" w:bottom="16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pP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858.45pt;mso-position-horizontal:right;mso-position-horizontal-relative:margin">
              <v:fill opacity="0f"/>
              <v:textbox inset="0in,0in,0in,0in">
                <w:txbxContent>
                  <w:p>
                    <w:pPr>
                      <w:pStyle w:val="Footer"/>
                      <w:rPr/>
                    </w:pPr>
                    <w:r>
                      <w:rPr/>
                      <w:fldChar w:fldCharType="begin"/>
                    </w:r>
                    <w:r>
                      <w:rPr/>
                      <w:instrText xml:space="preserve"> PAGE </w:instrText>
                    </w:r>
                    <w:r>
                      <w:rPr/>
                      <w:fldChar w:fldCharType="separate"/>
                    </w:r>
                    <w:r>
                      <w:rPr/>
                      <w:t>3</w:t>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4"/>
      </w:rPr>
    </w:pPr>
    <w:r>
      <w:rPr>
        <w:b/>
        <w:sz w:val="24"/>
      </w:rPr>
      <w:t>Database System Management</w:t>
    </w:r>
  </w:p>
  <w:p>
    <w:pPr>
      <w:pStyle w:val="Normal"/>
      <w:jc w:val="center"/>
      <w:rPr>
        <w:b/>
        <w:sz w:val="24"/>
      </w:rPr>
    </w:pPr>
    <w:r>
      <w:rPr>
        <w:b/>
        <w:sz w:val="24"/>
      </w:rPr>
      <w:t>Business Risk Management (BRM) Project Reporting Format</w:t>
    </w:r>
  </w:p>
  <w:p>
    <w:pPr>
      <w:pStyle w:val="Normal"/>
      <w:jc w:val="center"/>
      <w:rPr>
        <w:b/>
        <w:sz w:val="24"/>
      </w:rPr>
    </w:pPr>
    <w:r>
      <w:rPr>
        <w:b/>
        <w:sz w:val="24"/>
      </w:rPr>
    </w:r>
  </w:p>
  <w:p>
    <w:pPr>
      <w:pStyle w:val="Normal"/>
      <w:jc w:val="center"/>
      <w:rPr>
        <w:b/>
        <w:sz w:val="24"/>
      </w:rPr>
    </w:pPr>
    <w:r>
      <w:rPr>
        <w:b/>
        <w:sz w:val="24"/>
      </w:rPr>
    </w:r>
  </w:p>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283"/>
        </w:tabs>
        <w:ind w:start="283" w:hanging="283"/>
      </w:pPr>
      <w:rPr>
        <w:rFonts w:ascii="Symbol" w:hAnsi="Symbol" w:cs="Symbol" w:hint="default"/>
      </w:rPr>
    </w:lvl>
  </w:abstractNum>
  <w:abstractNum w:abstractNumId="12">
    <w:lvl w:ilvl="0">
      <w:start w:val="1"/>
      <w:numFmt w:val="bullet"/>
      <w:lvlText w:val=""/>
      <w:lvlJc w:val="start"/>
      <w:pPr>
        <w:tabs>
          <w:tab w:val="num" w:pos="283"/>
        </w:tabs>
        <w:ind w:start="283" w:hanging="283"/>
      </w:pPr>
      <w:rPr>
        <w:rFonts w:ascii="Symbol" w:hAnsi="Symbol" w:cs="Symbol" w:hint="default"/>
      </w:r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decimal"/>
      <w:lvlText w:val="%1."/>
      <w:lvlJc w:val="start"/>
      <w:pPr>
        <w:tabs>
          <w:tab w:val="num" w:pos="283"/>
        </w:tabs>
        <w:ind w:start="283" w:hanging="283"/>
      </w:pPr>
    </w:lvl>
  </w:abstractNum>
  <w:abstractNum w:abstractNumId="15">
    <w:lvl w:ilvl="0">
      <w:start w:val="1"/>
      <w:numFmt w:val="bullet"/>
      <w:lvlText w:val=""/>
      <w:lvlJc w:val="start"/>
      <w:pPr>
        <w:tabs>
          <w:tab w:val="num" w:pos="283"/>
        </w:tabs>
        <w:ind w:start="283" w:hanging="283"/>
      </w:pPr>
      <w:rPr>
        <w:rFonts w:ascii="Symbol" w:hAnsi="Symbol" w:cs="Symbol" w:hint="default"/>
      </w:rPr>
    </w:lvl>
  </w:abstractNum>
  <w:abstractNum w:abstractNumId="16">
    <w:lvl w:ilvl="0">
      <w:start w:val="1"/>
      <w:numFmt w:val="bullet"/>
      <w:lvlText w:val=""/>
      <w:lvlJc w:val="start"/>
      <w:pPr>
        <w:tabs>
          <w:tab w:val="num" w:pos="283"/>
        </w:tabs>
        <w:ind w:start="283" w:hanging="283"/>
      </w:pPr>
      <w:rPr>
        <w:rFonts w:ascii="Symbol" w:hAnsi="Symbol" w:cs="Symbol" w:hint="default"/>
      </w:rPr>
    </w:lvl>
  </w:abstractNum>
  <w:abstractNum w:abstractNumId="17">
    <w:lvl w:ilvl="0">
      <w:start w:val="1"/>
      <w:numFmt w:val="bullet"/>
      <w:lvlText w:val=""/>
      <w:lvlJc w:val="start"/>
      <w:pPr>
        <w:tabs>
          <w:tab w:val="num" w:pos="283"/>
        </w:tabs>
        <w:ind w:start="283" w:hanging="283"/>
      </w:pPr>
      <w:rPr>
        <w:rFonts w:ascii="Symbol" w:hAnsi="Symbol" w:cs="Symbol" w:hint="default"/>
      </w:rPr>
    </w:lvl>
  </w:abstractNum>
  <w:abstractNum w:abstractNumId="18">
    <w:lvl w:ilvl="0">
      <w:start w:val="1"/>
      <w:numFmt w:val="bullet"/>
      <w:lvlText w:val=""/>
      <w:lvlJc w:val="start"/>
      <w:pPr>
        <w:tabs>
          <w:tab w:val="num" w:pos="283"/>
        </w:tabs>
        <w:ind w:start="283" w:hanging="283"/>
      </w:pPr>
      <w:rPr>
        <w:rFonts w:ascii="Symbol" w:hAnsi="Symbol" w:cs="Symbol" w:hint="default"/>
      </w:rPr>
    </w:lvl>
  </w:abstractNum>
  <w:abstractNum w:abstractNumId="19">
    <w:lvl w:ilvl="0">
      <w:start w:val="1"/>
      <w:numFmt w:val="bullet"/>
      <w:lvlText w:val=""/>
      <w:lvlJc w:val="start"/>
      <w:pPr>
        <w:tabs>
          <w:tab w:val="num" w:pos="283"/>
        </w:tabs>
        <w:ind w:start="283" w:hanging="283"/>
      </w:pPr>
      <w:rPr>
        <w:rFonts w:ascii="Symbol" w:hAnsi="Symbol" w:cs="Symbol" w:hint="default"/>
      </w:rPr>
    </w:lvl>
  </w:abstractNum>
  <w:abstractNum w:abstractNumId="20">
    <w:lvl w:ilvl="0">
      <w:start w:val="1"/>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eastAsia="zh-CN" w:bidi="hi-IN"/>
    </w:rPr>
  </w:style>
  <w:style w:type="paragraph" w:styleId="Heading5">
    <w:name w:val="heading 5"/>
    <w:basedOn w:val="Normal"/>
    <w:next w:val="Normal"/>
    <w:qFormat/>
    <w:pPr>
      <w:keepNext w:val="true"/>
      <w:widowControl w:val="false"/>
      <w:numPr>
        <w:ilvl w:val="4"/>
        <w:numId w:val="1"/>
      </w:numPr>
      <w:outlineLvl w:val="4"/>
    </w:pPr>
    <w:rPr>
      <w:b/>
      <w:i/>
      <w:sz w:val="28"/>
      <w:lang w:eastAsia="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color w:val="000000"/>
      <w:sz w:val="18"/>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sz w:val="18"/>
    </w:rPr>
  </w:style>
  <w:style w:type="character" w:styleId="WW8Num17z0">
    <w:name w:val="WW8Num17z0"/>
    <w:qFormat/>
    <w:rPr>
      <w:rFonts w:ascii="Arial" w:hAnsi="Arial" w:cs="Webdings"/>
    </w:rPr>
  </w:style>
  <w:style w:type="character" w:styleId="WW8Num18z0">
    <w:name w:val="WW8Num18z0"/>
    <w:qFormat/>
    <w:rPr>
      <w:rFonts w:ascii="Symbol" w:hAnsi="Symbol" w:cs="Symbol"/>
      <w:sz w:val="18"/>
    </w:rPr>
  </w:style>
  <w:style w:type="character" w:styleId="WW8Num19z0">
    <w:name w:val="WW8Num19z0"/>
    <w:qFormat/>
    <w:rPr>
      <w:rFonts w:ascii="Book Antiqua" w:hAnsi="Book Antiqua" w:cs="Book Antiqua"/>
      <w:sz w:val="18"/>
    </w:rPr>
  </w:style>
  <w:style w:type="character" w:styleId="WW8Num20z0">
    <w:name w:val="WW8Num20z0"/>
    <w:qFormat/>
    <w:rPr>
      <w:rFonts w:ascii="Symbol" w:hAnsi="Symbol" w:cs="Symbol"/>
      <w:sz w:val="18"/>
    </w:rPr>
  </w:style>
  <w:style w:type="character" w:styleId="WW8Num21z0">
    <w:name w:val="WW8Num21z0"/>
    <w:qFormat/>
    <w:rPr>
      <w:rFonts w:ascii="Symbol" w:hAnsi="Symbol" w:cs="Symbol"/>
      <w:color w:val="000000"/>
      <w:sz w:val="18"/>
    </w:rPr>
  </w:style>
  <w:style w:type="character" w:styleId="WW8Num22z0">
    <w:name w:val="WW8Num22z0"/>
    <w:qFormat/>
    <w:rPr>
      <w:rFonts w:ascii="Book Antiqua" w:hAnsi="Book Antiqua" w:cs="Book Antiqua"/>
      <w:sz w:val="18"/>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Book Antiqua" w:hAnsi="Book Antiqua" w:cs="Book Antiqua"/>
      <w:sz w:val="18"/>
    </w:rPr>
  </w:style>
  <w:style w:type="character" w:styleId="WW8Num27z0">
    <w:name w:val="WW8Num27z0"/>
    <w:qFormat/>
    <w:rPr>
      <w:rFonts w:ascii="Symbol" w:hAnsi="Symbol" w:cs="Symbol"/>
      <w:sz w:val="18"/>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sz w:val="16"/>
    </w:rPr>
  </w:style>
  <w:style w:type="character" w:styleId="WW8Num35z0">
    <w:name w:val="WW8Num35z0"/>
    <w:qFormat/>
    <w:rPr>
      <w:rFonts w:ascii="Symbol" w:hAnsi="Symbol" w:cs="Symbol"/>
    </w:rPr>
  </w:style>
  <w:style w:type="character" w:styleId="WW8Num36z0">
    <w:name w:val="WW8Num36z0"/>
    <w:qFormat/>
    <w:rPr>
      <w:rFonts w:ascii="Symbol" w:hAnsi="Symbol" w:cs="Symbol"/>
      <w:sz w:val="18"/>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Book Antiqua" w:hAnsi="Book Antiqua" w:cs="Book Antiqua"/>
      <w:sz w:val="18"/>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color w:val="auto"/>
    </w:rPr>
  </w:style>
  <w:style w:type="character" w:styleId="WW8Num47z0">
    <w:name w:val="WW8Num47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color w:val="000000"/>
      <w:sz w:val="18"/>
    </w:rPr>
  </w:style>
  <w:style w:type="character" w:styleId="WW8Num52z0">
    <w:name w:val="WW8Num52z0"/>
    <w:qFormat/>
    <w:rPr>
      <w:rFonts w:ascii="Symbol" w:hAnsi="Symbol" w:cs="Symbol"/>
      <w:color w:val="auto"/>
    </w:rPr>
  </w:style>
  <w:style w:type="character" w:styleId="WW8Num53z0">
    <w:name w:val="WW8Num53z0"/>
    <w:qFormat/>
    <w:rPr>
      <w:rFonts w:ascii="Symbol" w:hAnsi="Symbol" w:cs="Symbol"/>
      <w:sz w:val="18"/>
    </w:rPr>
  </w:style>
  <w:style w:type="character" w:styleId="WW8Num55z0">
    <w:name w:val="WW8Num55z0"/>
    <w:qFormat/>
    <w:rPr>
      <w:rFonts w:ascii="Symbol" w:hAnsi="Symbol" w:cs="Symbol"/>
      <w:color w:val="auto"/>
    </w:rPr>
  </w:style>
  <w:style w:type="character" w:styleId="WW8Num56z0">
    <w:name w:val="WW8Num56z0"/>
    <w:qFormat/>
    <w:rPr>
      <w:rFonts w:ascii="Book Antiqua" w:hAnsi="Book Antiqua" w:cs="Book Antiqua"/>
      <w:sz w:val="18"/>
    </w:rPr>
  </w:style>
  <w:style w:type="character" w:styleId="WW8Num57z0">
    <w:name w:val="WW8Num57z0"/>
    <w:qFormat/>
    <w:rPr>
      <w:rFonts w:ascii="Symbol" w:hAnsi="Symbol" w:cs="Symbol"/>
      <w:sz w:val="18"/>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color w:val="auto"/>
    </w:rPr>
  </w:style>
  <w:style w:type="character" w:styleId="WW8Num62z0">
    <w:name w:val="WW8Num62z0"/>
    <w:qFormat/>
    <w:rPr>
      <w:rFonts w:ascii="Symbol" w:hAnsi="Symbol" w:cs="Symbol"/>
      <w:color w:val="auto"/>
    </w:rPr>
  </w:style>
  <w:style w:type="character" w:styleId="WW8Num63z0">
    <w:name w:val="WW8Num63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sz w:val="18"/>
    </w:rPr>
  </w:style>
  <w:style w:type="character" w:styleId="WW8Num68z0">
    <w:name w:val="WW8Num68z0"/>
    <w:qFormat/>
    <w:rPr>
      <w:rFonts w:ascii="Symbol" w:hAnsi="Symbol" w:cs="Symbol"/>
    </w:rPr>
  </w:style>
  <w:style w:type="character" w:styleId="WW8Num69z0">
    <w:name w:val="WW8Num69z0"/>
    <w:qFormat/>
    <w:rPr>
      <w:rFonts w:ascii="Symbol" w:hAnsi="Symbol" w:cs="Symbol"/>
      <w:color w:val="000000"/>
      <w:sz w:val="18"/>
    </w:rPr>
  </w:style>
  <w:style w:type="character" w:styleId="WW8Num70z0">
    <w:name w:val="WW8Num70z0"/>
    <w:qFormat/>
    <w:rPr>
      <w:rFonts w:ascii="Arial" w:hAnsi="Arial" w:cs="Webdings"/>
    </w:rPr>
  </w:style>
  <w:style w:type="character" w:styleId="WW8Num71z0">
    <w:name w:val="WW8Num71z0"/>
    <w:qFormat/>
    <w:rPr>
      <w:rFonts w:ascii="Symbol" w:hAnsi="Symbol" w:cs="Symbol"/>
      <w:sz w:val="18"/>
    </w:rPr>
  </w:style>
  <w:style w:type="character" w:styleId="WW8Num72z0">
    <w:name w:val="WW8Num72z0"/>
    <w:qFormat/>
    <w:rPr>
      <w:rFonts w:ascii="Symbol" w:hAnsi="Symbol" w:cs="Symbol"/>
    </w:rPr>
  </w:style>
  <w:style w:type="character" w:styleId="WW8Num73z0">
    <w:name w:val="WW8Num73z0"/>
    <w:qFormat/>
    <w:rPr>
      <w:rFonts w:ascii="Symbol" w:hAnsi="Symbol" w:cs="Symbol"/>
      <w:color w:val="000000"/>
      <w:sz w:val="18"/>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sz w:val="18"/>
    </w:rPr>
  </w:style>
  <w:style w:type="character" w:styleId="WW8Num79z0">
    <w:name w:val="WW8Num79z0"/>
    <w:qFormat/>
    <w:rPr>
      <w:rFonts w:ascii="Symbol" w:hAnsi="Symbol" w:cs="Symbol"/>
      <w:sz w:val="18"/>
    </w:rPr>
  </w:style>
  <w:style w:type="character" w:styleId="WW8Num80z0">
    <w:name w:val="WW8Num80z0"/>
    <w:qFormat/>
    <w:rPr>
      <w:rFonts w:ascii="Symbol" w:hAnsi="Symbol" w:cs="Symbol"/>
      <w:color w:val="auto"/>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sz w:val="18"/>
    </w:rPr>
  </w:style>
  <w:style w:type="character" w:styleId="WW8Num84z0">
    <w:name w:val="WW8Num84z0"/>
    <w:qFormat/>
    <w:rPr>
      <w:rFonts w:ascii="Symbol" w:hAnsi="Symbol" w:cs="Symbol"/>
    </w:rPr>
  </w:style>
  <w:style w:type="character" w:styleId="WW8Num85z0">
    <w:name w:val="WW8Num85z0"/>
    <w:qFormat/>
    <w:rPr>
      <w:rFonts w:ascii="Symbol" w:hAnsi="Symbol" w:cs="Symbol"/>
      <w:color w:val="000000"/>
      <w:sz w:val="18"/>
    </w:rPr>
  </w:style>
  <w:style w:type="character" w:styleId="WW8Num86z0">
    <w:name w:val="WW8Num86z0"/>
    <w:qFormat/>
    <w:rPr>
      <w:rFonts w:ascii="Symbol" w:hAnsi="Symbol" w:cs="Symbol"/>
      <w:sz w:val="18"/>
    </w:rPr>
  </w:style>
  <w:style w:type="character" w:styleId="WW8Num87z0">
    <w:name w:val="WW8Num87z0"/>
    <w:qFormat/>
    <w:rPr>
      <w:rFonts w:ascii="Symbol" w:hAnsi="Symbol" w:cs="Symbol"/>
    </w:rPr>
  </w:style>
  <w:style w:type="character" w:styleId="WW8Num88z0">
    <w:name w:val="WW8Num88z0"/>
    <w:qFormat/>
    <w:rPr>
      <w:rFonts w:ascii="Symbol" w:hAnsi="Symbol" w:cs="Symbol"/>
      <w:sz w:val="18"/>
    </w:rPr>
  </w:style>
  <w:style w:type="character" w:styleId="WW8Num89z0">
    <w:name w:val="WW8Num89z0"/>
    <w:qFormat/>
    <w:rPr>
      <w:rFonts w:ascii="Symbol" w:hAnsi="Symbol" w:cs="Symbol"/>
      <w:sz w:val="16"/>
    </w:rPr>
  </w:style>
  <w:style w:type="character" w:styleId="WW8Num90z0">
    <w:name w:val="WW8Num90z0"/>
    <w:qFormat/>
    <w:rPr>
      <w:rFonts w:ascii="Symbol" w:hAnsi="Symbol" w:cs="Symbol"/>
      <w:color w:val="auto"/>
    </w:rPr>
  </w:style>
  <w:style w:type="character" w:styleId="WW8Num91z0">
    <w:name w:val="WW8Num91z0"/>
    <w:qFormat/>
    <w:rPr>
      <w:rFonts w:ascii="Symbol" w:hAnsi="Symbol" w:cs="Symbol"/>
      <w:color w:val="000000"/>
      <w:sz w:val="18"/>
    </w:rPr>
  </w:style>
  <w:style w:type="character" w:styleId="WW8Num92z0">
    <w:name w:val="WW8Num92z0"/>
    <w:qFormat/>
    <w:rPr>
      <w:rFonts w:ascii="Symbol" w:hAnsi="Symbol" w:cs="Symbol"/>
      <w:sz w:val="18"/>
    </w:rPr>
  </w:style>
  <w:style w:type="character" w:styleId="WW8Num93z0">
    <w:name w:val="WW8Num93z0"/>
    <w:qFormat/>
    <w:rPr>
      <w:rFonts w:ascii="Symbol" w:hAnsi="Symbol" w:cs="Symbol"/>
      <w:sz w:val="16"/>
    </w:rPr>
  </w:style>
  <w:style w:type="character" w:styleId="WW8Num94z0">
    <w:name w:val="WW8Num94z0"/>
    <w:qFormat/>
    <w:rPr>
      <w:rFonts w:ascii="Symbol" w:hAnsi="Symbol" w:cs="Symbol"/>
      <w:color w:val="auto"/>
    </w:rPr>
  </w:style>
  <w:style w:type="character" w:styleId="WW8Num95z0">
    <w:name w:val="WW8Num95z0"/>
    <w:qFormat/>
    <w:rPr>
      <w:rFonts w:ascii="Symbol" w:hAnsi="Symbol" w:cs="Symbol"/>
    </w:rPr>
  </w:style>
  <w:style w:type="character" w:styleId="WW8Num96z0">
    <w:name w:val="WW8Num96z0"/>
    <w:qFormat/>
    <w:rPr>
      <w:rFonts w:ascii="Symbol" w:hAnsi="Symbol" w:cs="Symbol"/>
      <w:sz w:val="18"/>
    </w:rPr>
  </w:style>
  <w:style w:type="character" w:styleId="WW8Num97z0">
    <w:name w:val="WW8Num97z0"/>
    <w:qFormat/>
    <w:rPr>
      <w:rFonts w:ascii="Symbol" w:hAnsi="Symbol" w:cs="Symbol"/>
      <w:color w:val="auto"/>
    </w:rPr>
  </w:style>
  <w:style w:type="character" w:styleId="WW8Num98z0">
    <w:name w:val="WW8Num98z0"/>
    <w:qFormat/>
    <w:rPr>
      <w:rFonts w:ascii="Symbol" w:hAnsi="Symbol" w:cs="Symbol"/>
      <w:sz w:val="16"/>
    </w:rPr>
  </w:style>
  <w:style w:type="character" w:styleId="WW8Num100z0">
    <w:name w:val="WW8Num100z0"/>
    <w:qFormat/>
    <w:rPr>
      <w:rFonts w:ascii="Symbol" w:hAnsi="Symbol" w:cs="Symbol"/>
    </w:rPr>
  </w:style>
  <w:style w:type="character" w:styleId="WW8Num101z0">
    <w:name w:val="WW8Num101z0"/>
    <w:qFormat/>
    <w:rPr>
      <w:rFonts w:ascii="Symbol" w:hAnsi="Symbol" w:cs="Symbol"/>
      <w:sz w:val="18"/>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Book Antiqua" w:hAnsi="Book Antiqua" w:cs="Book Antiqua"/>
      <w:sz w:val="18"/>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color w:val="auto"/>
    </w:rPr>
  </w:style>
  <w:style w:type="character" w:styleId="WW8Num114z0">
    <w:name w:val="WW8Num114z0"/>
    <w:qFormat/>
    <w:rPr>
      <w:rFonts w:ascii="Symbol" w:hAnsi="Symbol" w:cs="Symbol"/>
      <w:sz w:val="18"/>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sz w:val="18"/>
    </w:rPr>
  </w:style>
  <w:style w:type="character" w:styleId="WW8Num120z0">
    <w:name w:val="WW8Num120z0"/>
    <w:qFormat/>
    <w:rPr>
      <w:rFonts w:ascii="Symbol" w:hAnsi="Symbol" w:cs="Symbol"/>
      <w:color w:val="000000"/>
      <w:sz w:val="18"/>
    </w:rPr>
  </w:style>
  <w:style w:type="character" w:styleId="WW8Num121z0">
    <w:name w:val="WW8Num121z0"/>
    <w:qFormat/>
    <w:rPr>
      <w:rFonts w:ascii="Symbol" w:hAnsi="Symbol" w:cs="Symbol"/>
      <w:sz w:val="18"/>
    </w:rPr>
  </w:style>
  <w:style w:type="character" w:styleId="WW8Num122z0">
    <w:name w:val="WW8Num122z0"/>
    <w:qFormat/>
    <w:rPr>
      <w:rFonts w:ascii="Symbol" w:hAnsi="Symbol" w:cs="Symbol"/>
    </w:rPr>
  </w:style>
  <w:style w:type="character" w:styleId="WW8Num123z0">
    <w:name w:val="WW8Num123z0"/>
    <w:qFormat/>
    <w:rPr>
      <w:rFonts w:ascii="Symbol" w:hAnsi="Symbol" w:cs="Symbol"/>
      <w:sz w:val="18"/>
    </w:rPr>
  </w:style>
  <w:style w:type="character" w:styleId="WW8Num124z0">
    <w:name w:val="WW8Num124z0"/>
    <w:qFormat/>
    <w:rPr>
      <w:rFonts w:ascii="Symbol" w:hAnsi="Symbol" w:cs="Symbol"/>
      <w:color w:val="000000"/>
      <w:sz w:val="18"/>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sz w:val="18"/>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color w:val="auto"/>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sz w:val="18"/>
    </w:rPr>
  </w:style>
  <w:style w:type="character" w:styleId="WW8Num136z0">
    <w:name w:val="WW8Num136z0"/>
    <w:qFormat/>
    <w:rPr>
      <w:rFonts w:ascii="Symbol" w:hAnsi="Symbol" w:cs="Symbol"/>
      <w:sz w:val="18"/>
    </w:rPr>
  </w:style>
  <w:style w:type="character" w:styleId="WW8Num137z0">
    <w:name w:val="WW8Num137z0"/>
    <w:qFormat/>
    <w:rPr>
      <w:rFonts w:ascii="Symbol" w:hAnsi="Symbol" w:cs="Symbol"/>
      <w:color w:val="000000"/>
      <w:sz w:val="18"/>
    </w:rPr>
  </w:style>
  <w:style w:type="character" w:styleId="WW8Num138z0">
    <w:name w:val="WW8Num138z0"/>
    <w:qFormat/>
    <w:rPr>
      <w:rFonts w:ascii="Symbol" w:hAnsi="Symbol" w:cs="Symbol"/>
      <w:sz w:val="18"/>
    </w:rPr>
  </w:style>
  <w:style w:type="character" w:styleId="WW8Num139z0">
    <w:name w:val="WW8Num139z0"/>
    <w:qFormat/>
    <w:rPr>
      <w:rFonts w:ascii="Symbol" w:hAnsi="Symbol" w:cs="Symbol"/>
      <w:sz w:val="18"/>
    </w:rPr>
  </w:style>
  <w:style w:type="character" w:styleId="WW8Num140z0">
    <w:name w:val="WW8Num140z0"/>
    <w:qFormat/>
    <w:rPr>
      <w:rFonts w:ascii="Book Antiqua" w:hAnsi="Book Antiqua" w:cs="Book Antiqua"/>
      <w:sz w:val="18"/>
    </w:rPr>
  </w:style>
  <w:style w:type="character" w:styleId="WW8Num141z0">
    <w:name w:val="WW8Num141z0"/>
    <w:qFormat/>
    <w:rPr>
      <w:rFonts w:ascii="Symbol" w:hAnsi="Symbol" w:cs="Symbol"/>
      <w:color w:val="auto"/>
    </w:rPr>
  </w:style>
  <w:style w:type="character" w:styleId="WW8Num142z0">
    <w:name w:val="WW8Num142z0"/>
    <w:qFormat/>
    <w:rPr>
      <w:rFonts w:ascii="Book Antiqua" w:hAnsi="Book Antiqua" w:cs="Book Antiqua"/>
      <w:sz w:val="18"/>
    </w:rPr>
  </w:style>
  <w:style w:type="character" w:styleId="WW8Num143z0">
    <w:name w:val="WW8Num143z0"/>
    <w:qFormat/>
    <w:rPr>
      <w:rFonts w:ascii="Symbol" w:hAnsi="Symbol" w:cs="Symbol"/>
    </w:rPr>
  </w:style>
  <w:style w:type="character" w:styleId="WW8Num144z0">
    <w:name w:val="WW8Num144z0"/>
    <w:qFormat/>
    <w:rPr>
      <w:rFonts w:ascii="Symbol" w:hAnsi="Symbol" w:cs="Symbol"/>
      <w:sz w:val="18"/>
    </w:rPr>
  </w:style>
  <w:style w:type="character" w:styleId="WW8Num145z0">
    <w:name w:val="WW8Num145z0"/>
    <w:qFormat/>
    <w:rPr>
      <w:rFonts w:ascii="Symbol" w:hAnsi="Symbol" w:cs="Symbol"/>
      <w:color w:val="auto"/>
    </w:rPr>
  </w:style>
  <w:style w:type="character" w:styleId="WW8Num146z0">
    <w:name w:val="WW8Num146z0"/>
    <w:qFormat/>
    <w:rPr>
      <w:rFonts w:ascii="Symbol" w:hAnsi="Symbol" w:cs="Symbol"/>
      <w:color w:val="auto"/>
    </w:rPr>
  </w:style>
  <w:style w:type="character" w:styleId="WW8Num147z0">
    <w:name w:val="WW8Num147z0"/>
    <w:qFormat/>
    <w:rPr>
      <w:rFonts w:ascii="Symbol" w:hAnsi="Symbol" w:cs="Symbol"/>
      <w:sz w:val="18"/>
    </w:rPr>
  </w:style>
  <w:style w:type="character" w:styleId="WW8Num148z0">
    <w:name w:val="WW8Num148z0"/>
    <w:qFormat/>
    <w:rPr>
      <w:rFonts w:ascii="Symbol" w:hAnsi="Symbol" w:cs="Symbol"/>
      <w:sz w:val="18"/>
    </w:rPr>
  </w:style>
  <w:style w:type="character" w:styleId="WW8Num149z0">
    <w:name w:val="WW8Num149z0"/>
    <w:qFormat/>
    <w:rPr>
      <w:rFonts w:ascii="Symbol" w:hAnsi="Symbol" w:cs="Symbol"/>
      <w:color w:val="000000"/>
      <w:sz w:val="18"/>
    </w:rPr>
  </w:style>
  <w:style w:type="character" w:styleId="WW8Num150z0">
    <w:name w:val="WW8Num150z0"/>
    <w:qFormat/>
    <w:rPr>
      <w:rFonts w:ascii="Symbol" w:hAnsi="Symbol" w:cs="Symbol"/>
      <w:color w:val="000000"/>
      <w:sz w:val="18"/>
    </w:rPr>
  </w:style>
  <w:style w:type="character" w:styleId="WW8Num151z0">
    <w:name w:val="WW8Num151z0"/>
    <w:qFormat/>
    <w:rPr>
      <w:rFonts w:ascii="Symbol" w:hAnsi="Symbol" w:cs="Symbol"/>
    </w:rPr>
  </w:style>
  <w:style w:type="character" w:styleId="WW8Num152z0">
    <w:name w:val="WW8Num152z0"/>
    <w:qFormat/>
    <w:rPr>
      <w:rFonts w:ascii="Symbol" w:hAnsi="Symbol" w:cs="Symbol"/>
      <w:sz w:val="16"/>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color w:val="000000"/>
      <w:sz w:val="18"/>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Wingdings" w:hAnsi="Wingdings" w:cs="Wingdings"/>
      <w:sz w:val="16"/>
    </w:rPr>
  </w:style>
  <w:style w:type="character" w:styleId="WW8Num159z0">
    <w:name w:val="WW8Num159z0"/>
    <w:qFormat/>
    <w:rPr>
      <w:rFonts w:ascii="Symbol" w:hAnsi="Symbol" w:cs="Symbol"/>
    </w:rPr>
  </w:style>
  <w:style w:type="character" w:styleId="WW8Num160z0">
    <w:name w:val="WW8Num160z0"/>
    <w:qFormat/>
    <w:rPr>
      <w:rFonts w:ascii="Symbol" w:hAnsi="Symbol" w:cs="Symbol"/>
      <w:color w:val="000000"/>
      <w:sz w:val="18"/>
    </w:rPr>
  </w:style>
  <w:style w:type="character" w:styleId="WW8Num161z0">
    <w:name w:val="WW8Num161z0"/>
    <w:qFormat/>
    <w:rPr>
      <w:rFonts w:ascii="Symbol" w:hAnsi="Symbol" w:cs="Symbol"/>
      <w:sz w:val="18"/>
    </w:rPr>
  </w:style>
  <w:style w:type="character" w:styleId="WW8Num162z0">
    <w:name w:val="WW8Num162z0"/>
    <w:qFormat/>
    <w:rPr>
      <w:rFonts w:ascii="Wingdings" w:hAnsi="Wingdings" w:cs="Wingdings"/>
      <w:sz w:val="16"/>
    </w:rPr>
  </w:style>
  <w:style w:type="character" w:styleId="WW8NumSt1z0">
    <w:name w:val="WW8NumSt1z0"/>
    <w:qFormat/>
    <w:rPr>
      <w:rFonts w:ascii="Symbol" w:hAnsi="Symbol" w:cs="Symbol"/>
    </w:rPr>
  </w:style>
  <w:style w:type="character" w:styleId="WW8NumSt2z0">
    <w:name w:val="WW8NumSt2z0"/>
    <w:qFormat/>
    <w:rPr>
      <w:rFonts w:ascii="Book Antiqua" w:hAnsi="Book Antiqua" w:cs="Book Antiqua"/>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18"/>
      <w:lang w:eastAsia="en-US"/>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1134" w:leader="none"/>
      </w:tabs>
      <w:spacing w:lineRule="atLeast" w:line="280"/>
    </w:pPr>
    <w:rPr>
      <w:rFonts w:ascii="Times New Roman" w:hAnsi="Times New Roman" w:cs="Times New Roman"/>
      <w:b/>
    </w:rPr>
  </w:style>
  <w:style w:type="paragraph" w:styleId="Index">
    <w:name w:val="Index"/>
    <w:basedOn w:val="Normal"/>
    <w:qFormat/>
    <w:pPr>
      <w:suppressLineNumbers/>
    </w:pPr>
    <w:rPr>
      <w:rFonts w:cs="NotoSans NF"/>
    </w:rPr>
  </w:style>
  <w:style w:type="paragraph" w:styleId="MacroText">
    <w:name w:val="Macro Text"/>
    <w:qFormat/>
    <w:pPr>
      <w:widowControl/>
      <w:bidi w:val="0"/>
    </w:pPr>
    <w:rPr>
      <w:rFonts w:ascii="Book Antiqua" w:hAnsi="Book Antiqua" w:eastAsia="Times New Roman" w:cs="Book Antiqua"/>
      <w:color w:val="auto"/>
      <w:sz w:val="16"/>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IOCNORMAL">
    <w:name w:val="AIOC NORMAL"/>
    <w:basedOn w:val="Normal"/>
    <w:qFormat/>
    <w:pPr>
      <w:tabs>
        <w:tab w:val="clear" w:pos="720"/>
        <w:tab w:val="left" w:pos="1440" w:leader="none"/>
      </w:tabs>
    </w:pPr>
    <w:rPr/>
  </w:style>
  <w:style w:type="paragraph" w:styleId="ListBullet">
    <w:name w:val="List Bullet"/>
    <w:basedOn w:val="Normal"/>
    <w:qFormat/>
    <w:pPr>
      <w:numPr>
        <w:ilvl w:val="0"/>
        <w:numId w:val="10"/>
      </w:numPr>
      <w:tabs>
        <w:tab w:val="clear" w:pos="720"/>
        <w:tab w:val="left" w:pos="284" w:leader="none"/>
        <w:tab w:val="left" w:pos="1134" w:leader="none"/>
      </w:tabs>
      <w:spacing w:lineRule="atLeast" w:line="280"/>
      <w:ind w:hanging="284" w:start="284" w:end="0"/>
    </w:pPr>
    <w:rPr>
      <w:rFonts w:ascii="Times New Roman" w:hAnsi="Times New Roman" w:cs="Times New Roman"/>
    </w:rPr>
  </w:style>
  <w:style w:type="paragraph" w:styleId="ListBullet2">
    <w:name w:val="List Bullet 2"/>
    <w:basedOn w:val="Normal"/>
    <w:qFormat/>
    <w:pPr>
      <w:numPr>
        <w:ilvl w:val="0"/>
        <w:numId w:val="8"/>
      </w:numPr>
      <w:tabs>
        <w:tab w:val="clear" w:pos="720"/>
        <w:tab w:val="left" w:pos="567" w:leader="none"/>
        <w:tab w:val="left" w:pos="1134" w:leader="none"/>
      </w:tabs>
      <w:spacing w:lineRule="atLeast" w:line="280"/>
      <w:ind w:hanging="284" w:start="851" w:end="0"/>
    </w:pPr>
    <w:rPr>
      <w:rFonts w:ascii="Times New Roman" w:hAnsi="Times New Roman" w:cs="Times New Roman"/>
    </w:rPr>
  </w:style>
  <w:style w:type="paragraph" w:styleId="ListBullet3">
    <w:name w:val="List Bullet 3"/>
    <w:basedOn w:val="Normal"/>
    <w:qFormat/>
    <w:pPr>
      <w:tabs>
        <w:tab w:val="clear" w:pos="720"/>
        <w:tab w:val="left" w:pos="851" w:leader="none"/>
        <w:tab w:val="left" w:pos="1134" w:leader="none"/>
      </w:tabs>
      <w:spacing w:lineRule="atLeast" w:line="280"/>
    </w:pPr>
    <w:rPr>
      <w:sz w:val="18"/>
    </w:rPr>
  </w:style>
  <w:style w:type="paragraph" w:styleId="ListBullet4">
    <w:name w:val="List Bullet 4"/>
    <w:basedOn w:val="Normal"/>
    <w:qFormat/>
    <w:pPr>
      <w:numPr>
        <w:ilvl w:val="0"/>
        <w:numId w:val="7"/>
      </w:numPr>
      <w:tabs>
        <w:tab w:val="clear" w:pos="720"/>
        <w:tab w:val="left" w:pos="1134" w:leader="none"/>
      </w:tabs>
      <w:spacing w:lineRule="atLeast" w:line="280"/>
      <w:ind w:hanging="284" w:start="1418" w:end="0"/>
    </w:pPr>
    <w:rPr>
      <w:rFonts w:ascii="Times New Roman" w:hAnsi="Times New Roman" w:cs="Times New Roman"/>
    </w:rPr>
  </w:style>
  <w:style w:type="paragraph" w:styleId="ListNumber">
    <w:name w:val="List Number"/>
    <w:basedOn w:val="Normal"/>
    <w:qFormat/>
    <w:pPr>
      <w:numPr>
        <w:ilvl w:val="0"/>
        <w:numId w:val="9"/>
      </w:numPr>
      <w:tabs>
        <w:tab w:val="clear" w:pos="720"/>
        <w:tab w:val="left" w:pos="284" w:leader="none"/>
        <w:tab w:val="left" w:pos="1134" w:leader="none"/>
      </w:tabs>
      <w:spacing w:lineRule="atLeast" w:line="280"/>
      <w:ind w:hanging="284" w:start="284" w:end="0"/>
    </w:pPr>
    <w:rPr>
      <w:rFonts w:ascii="Times New Roman" w:hAnsi="Times New Roman" w:cs="Times New Roman"/>
    </w:rPr>
  </w:style>
  <w:style w:type="paragraph" w:styleId="ListNumber2">
    <w:name w:val="List Number 2"/>
    <w:basedOn w:val="Normal"/>
    <w:qFormat/>
    <w:pPr>
      <w:numPr>
        <w:ilvl w:val="0"/>
        <w:numId w:val="5"/>
      </w:numPr>
      <w:tabs>
        <w:tab w:val="clear" w:pos="720"/>
        <w:tab w:val="left" w:pos="567" w:leader="none"/>
        <w:tab w:val="left" w:pos="1134" w:leader="none"/>
      </w:tabs>
      <w:spacing w:lineRule="atLeast" w:line="280"/>
      <w:ind w:hanging="284" w:start="851" w:end="0"/>
    </w:pPr>
    <w:rPr>
      <w:rFonts w:ascii="Times New Roman" w:hAnsi="Times New Roman" w:cs="Times New Roman"/>
    </w:rPr>
  </w:style>
  <w:style w:type="paragraph" w:styleId="ListNumber3">
    <w:name w:val="List Number 3"/>
    <w:basedOn w:val="Normal"/>
    <w:qFormat/>
    <w:pPr>
      <w:numPr>
        <w:ilvl w:val="0"/>
        <w:numId w:val="4"/>
      </w:numPr>
      <w:tabs>
        <w:tab w:val="clear" w:pos="720"/>
        <w:tab w:val="left" w:pos="851" w:leader="none"/>
        <w:tab w:val="left" w:pos="1134" w:leader="none"/>
      </w:tabs>
      <w:spacing w:lineRule="atLeast" w:line="280"/>
      <w:ind w:hanging="284" w:start="1135" w:end="0"/>
    </w:pPr>
    <w:rPr>
      <w:rFonts w:ascii="Times New Roman" w:hAnsi="Times New Roman" w:cs="Times New Roman"/>
    </w:rPr>
  </w:style>
  <w:style w:type="paragraph" w:styleId="ListNumber5">
    <w:name w:val="List Number 5"/>
    <w:basedOn w:val="Normal"/>
    <w:qFormat/>
    <w:pPr>
      <w:numPr>
        <w:ilvl w:val="0"/>
        <w:numId w:val="2"/>
      </w:numPr>
      <w:tabs>
        <w:tab w:val="clear" w:pos="720"/>
        <w:tab w:val="left" w:pos="1134" w:leader="none"/>
        <w:tab w:val="left" w:pos="1418" w:leader="none"/>
      </w:tabs>
      <w:spacing w:lineRule="atLeast" w:line="280"/>
      <w:ind w:hanging="284" w:start="1418" w:end="0"/>
    </w:pPr>
    <w:rPr>
      <w:rFonts w:ascii="Times New Roman" w:hAnsi="Times New Roman" w:cs="Times New Roman"/>
    </w:rPr>
  </w:style>
  <w:style w:type="paragraph" w:styleId="ListNumber4">
    <w:name w:val="List Number 4"/>
    <w:basedOn w:val="Normal"/>
    <w:qFormat/>
    <w:pPr>
      <w:numPr>
        <w:ilvl w:val="0"/>
        <w:numId w:val="3"/>
      </w:numPr>
      <w:tabs>
        <w:tab w:val="clear" w:pos="720"/>
        <w:tab w:val="left" w:pos="1134" w:leader="none"/>
        <w:tab w:val="left" w:pos="1418" w:leader="none"/>
      </w:tabs>
      <w:spacing w:lineRule="atLeast" w:line="280"/>
      <w:ind w:hanging="0" w:start="1209" w:end="0"/>
    </w:pPr>
    <w:rPr>
      <w:rFonts w:ascii="Times New Roman" w:hAnsi="Times New Roman" w:cs="Times New Roman"/>
    </w:rPr>
  </w:style>
  <w:style w:type="paragraph" w:styleId="ListBullet5">
    <w:name w:val="List Bullet 5"/>
    <w:basedOn w:val="Normal"/>
    <w:qFormat/>
    <w:pPr>
      <w:numPr>
        <w:ilvl w:val="0"/>
        <w:numId w:val="6"/>
      </w:numPr>
      <w:tabs>
        <w:tab w:val="clear" w:pos="720"/>
        <w:tab w:val="left" w:pos="1134" w:leader="none"/>
        <w:tab w:val="left" w:pos="1418" w:leader="none"/>
      </w:tabs>
      <w:spacing w:lineRule="atLeast" w:line="280"/>
      <w:ind w:hanging="284" w:start="1702" w:end="0"/>
    </w:pPr>
    <w:rPr>
      <w:rFonts w:ascii="Times New Roman" w:hAnsi="Times New Roman" w:cs="Times New Roman"/>
    </w:rPr>
  </w:style>
  <w:style w:type="paragraph" w:styleId="AA1stlevelbullet">
    <w:name w:val="AA 1st level bullet"/>
    <w:basedOn w:val="Normal"/>
    <w:qFormat/>
    <w:pPr>
      <w:numPr>
        <w:ilvl w:val="0"/>
        <w:numId w:val="17"/>
      </w:numPr>
      <w:tabs>
        <w:tab w:val="clear" w:pos="720"/>
      </w:tabs>
      <w:spacing w:lineRule="atLeast" w:line="280"/>
      <w:ind w:hanging="284" w:start="284" w:end="0"/>
    </w:pPr>
    <w:rPr>
      <w:rFonts w:ascii="Times New Roman" w:hAnsi="Times New Roman" w:cs="Times New Roman"/>
    </w:rPr>
  </w:style>
  <w:style w:type="paragraph" w:styleId="AA2ndlevelbullet">
    <w:name w:val="AA 2nd level bullet"/>
    <w:basedOn w:val="AA1stlevelbullet"/>
    <w:qFormat/>
    <w:pPr>
      <w:numPr>
        <w:ilvl w:val="0"/>
        <w:numId w:val="18"/>
      </w:numPr>
      <w:tabs>
        <w:tab w:val="left" w:pos="360" w:leader="none"/>
      </w:tabs>
      <w:ind w:hanging="284" w:start="568" w:end="0"/>
    </w:pPr>
    <w:rPr/>
  </w:style>
  <w:style w:type="paragraph" w:styleId="AANumbering">
    <w:name w:val="AA Numbering"/>
    <w:basedOn w:val="Normal"/>
    <w:qFormat/>
    <w:pPr>
      <w:numPr>
        <w:ilvl w:val="0"/>
        <w:numId w:val="14"/>
      </w:numPr>
      <w:tabs>
        <w:tab w:val="clear" w:pos="720"/>
        <w:tab w:val="left" w:pos="1134" w:leader="none"/>
      </w:tabs>
      <w:spacing w:lineRule="atLeast" w:line="280"/>
      <w:ind w:hanging="0" w:start="0" w:end="0"/>
    </w:pPr>
    <w:rPr>
      <w:rFonts w:ascii="Times New Roman" w:hAnsi="Times New Roman" w:cs="Times New Roman"/>
    </w:rPr>
  </w:style>
  <w:style w:type="paragraph" w:styleId="BodyText2">
    <w:name w:val="Body Text 2"/>
    <w:basedOn w:val="Normal"/>
    <w:qFormat/>
    <w:pPr/>
    <w:rPr>
      <w:sz w:val="18"/>
    </w:rPr>
  </w:style>
  <w:style w:type="paragraph" w:styleId="BodyText3">
    <w:name w:val="Body Text 3"/>
    <w:basedOn w:val="Normal"/>
    <w:qFormat/>
    <w:pPr>
      <w:tabs>
        <w:tab w:val="clear" w:pos="720"/>
        <w:tab w:val="left" w:pos="252" w:leader="none"/>
      </w:tabs>
    </w:pPr>
    <w:rPr>
      <w:b/>
      <w:i/>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2000-07-06T20:23:00Z</dcterms:created>
  <dc:creator>donnelcc</dc:creator>
  <dc:description/>
  <dc:language>en-CA</dc:language>
  <cp:lastModifiedBy>Cindy Davis</cp:lastModifiedBy>
  <cp:lastPrinted>2000-08-17T13:24:00Z</cp:lastPrinted>
  <dcterms:modified xsi:type="dcterms:W3CDTF">2000-08-18T13:40:00Z</dcterms:modified>
  <cp:revision>20</cp:revision>
  <dc:subject/>
  <dc:title>Project Name</dc:title>
</cp:coreProperties>
</file>