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7.emf" ContentType="image/x-e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960" w:type="dxa"/>
        <w:jc w:val="start"/>
        <w:tblInd w:w="1440" w:type="dxa"/>
        <w:tblLayout w:type="fixed"/>
        <w:tblCellMar>
          <w:top w:w="0" w:type="dxa"/>
          <w:start w:w="0" w:type="dxa"/>
          <w:bottom w:w="0" w:type="dxa"/>
          <w:end w:w="0" w:type="dxa"/>
        </w:tblCellMar>
      </w:tblPr>
      <w:tblGrid>
        <w:gridCol w:w="6480"/>
        <w:gridCol w:w="6480"/>
      </w:tblGrid>
      <w:tr>
        <w:trPr>
          <w:trHeight w:val="5040" w:hRule="exact"/>
        </w:trPr>
        <w:tc>
          <w:tcPr>
            <w:tcW w:w="6480" w:type="dxa"/>
            <w:tcBorders>
              <w:top w:val="dashed" w:sz="6" w:space="0" w:color="auto"/>
              <w:start w:val="dashed" w:sz="6" w:space="0" w:color="auto"/>
              <w:bottom w:val="dashed" w:sz="6" w:space="0" w:color="auto"/>
              <w:end w:val="dashed" w:sz="6" w:space="0" w:color="auto"/>
            </w:tcBorders>
          </w:tcPr>
          <w:p>
            <w:pPr>
              <w:pStyle w:val="Normal"/>
              <w:spacing w:before="960" w:after="0"/>
              <w:ind w:start="2520" w:end="0"/>
              <w:rPr/>
            </w:pPr>
            <w:r>
              <w:rPr/>
              <w:drawing>
                <wp:inline distT="0" distB="0" distL="0" distR="0">
                  <wp:extent cx="1348740" cy="1348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348740" cy="1348740"/>
                          </a:xfrm>
                          <a:prstGeom prst="rect">
                            <a:avLst/>
                          </a:prstGeom>
                          <a:noFill/>
                        </pic:spPr>
                      </pic:pic>
                    </a:graphicData>
                  </a:graphic>
                </wp:inline>
              </w:drawing>
            </w:r>
          </w:p>
          <w:p>
            <w:pPr>
              <w:pStyle w:val="Normal"/>
              <w:spacing w:before="720" w:after="0"/>
              <w:ind w:end="-252"/>
              <w:jc w:val="center"/>
              <w:rPr/>
            </w:pPr>
            <w:r>
              <w:rPr/>
            </w:r>
          </w:p>
        </w:tc>
        <w:tc>
          <w:tcPr>
            <w:tcW w:w="6480"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bl>
    <w:p>
      <w:pPr>
        <w:pStyle w:val="CoverPage"/>
        <w:spacing w:before="240" w:after="0"/>
        <w:rPr>
          <w:b/>
          <w:bCs/>
          <w:sz w:val="18"/>
          <w:szCs w:val="18"/>
        </w:rPr>
      </w:pPr>
      <w:r>
        <w:rPr>
          <w:b/>
          <w:bCs/>
          <w:sz w:val="18"/>
          <w:szCs w:val="18"/>
        </w:rPr>
      </w:r>
    </w:p>
    <w:p>
      <w:pPr>
        <w:pStyle w:val="CoverPage"/>
        <w:spacing w:before="1200" w:after="0"/>
        <w:rPr>
          <w:b/>
          <w:bCs/>
        </w:rPr>
      </w:pPr>
      <w:r>
        <w:rPr>
          <w:b/>
          <w:bCs/>
        </w:rPr>
        <w:t>Data Room and Site Visit Procedures</w:t>
      </w:r>
    </w:p>
    <w:p>
      <w:pPr>
        <w:pStyle w:val="CoverPage"/>
        <w:spacing w:before="120" w:after="0"/>
        <w:rPr>
          <w:b/>
          <w:bCs/>
          <w:sz w:val="48"/>
          <w:szCs w:val="48"/>
        </w:rPr>
      </w:pPr>
      <w:r>
        <w:rPr>
          <w:b/>
          <w:bCs/>
          <w:sz w:val="48"/>
          <w:szCs w:val="48"/>
        </w:rPr>
      </w:r>
    </w:p>
    <w:p>
      <w:pPr>
        <w:sectPr>
          <w:headerReference w:type="default" r:id="rId3"/>
          <w:footerReference w:type="default" r:id="rId4"/>
          <w:type w:val="nextPage"/>
          <w:pgSz w:w="12240" w:h="15840"/>
          <w:pgMar w:left="1440" w:right="1440" w:gutter="0" w:header="720" w:top="1560" w:footer="720" w:bottom="1296"/>
          <w:pgNumType w:start="1" w:fmt="upperLetter"/>
          <w:formProt w:val="false"/>
          <w:textDirection w:val="lrTb"/>
        </w:sectPr>
        <w:pStyle w:val="Normal"/>
        <w:rPr>
          <w:b/>
          <w:bCs/>
          <w:sz w:val="48"/>
          <w:szCs w:val="48"/>
        </w:rPr>
      </w:pPr>
      <w:r>
        <w:rPr>
          <w:b/>
          <w:bCs/>
          <w:sz w:val="48"/>
          <w:szCs w:val="48"/>
        </w:rPr>
      </w:r>
    </w:p>
    <w:p>
      <w:pPr>
        <w:pStyle w:val="TocContent0"/>
        <w:rPr/>
      </w:pPr>
      <w:r>
        <w:rPr/>
        <w:t>Table of Contents</w:t>
      </w:r>
    </w:p>
    <w:p>
      <w:pPr>
        <w:pStyle w:val="TocA0"/>
        <w:rPr/>
      </w:pPr>
      <w:r>
        <w:rPr/>
        <w:t>1.</w:t>
        <w:tab/>
        <w:t>Data Room Procedures</w:t>
      </w:r>
    </w:p>
    <w:p>
      <w:pPr>
        <w:pStyle w:val="TocB0"/>
        <w:rPr/>
      </w:pPr>
      <w:r>
        <w:rPr/>
        <w:t>A.</w:t>
        <w:tab/>
        <w:t>Introduction</w:t>
      </w:r>
    </w:p>
    <w:p>
      <w:pPr>
        <w:pStyle w:val="TocB0"/>
        <w:rPr/>
      </w:pPr>
      <w:r>
        <w:rPr/>
        <w:t>B.</w:t>
        <w:tab/>
        <w:t>Registering</w:t>
      </w:r>
    </w:p>
    <w:p>
      <w:pPr>
        <w:pStyle w:val="TocB0"/>
        <w:rPr/>
      </w:pPr>
      <w:r>
        <w:rPr/>
        <w:t>C.</w:t>
        <w:tab/>
        <w:t>Viewing Documents</w:t>
      </w:r>
    </w:p>
    <w:p>
      <w:pPr>
        <w:pStyle w:val="TocA0"/>
        <w:rPr/>
      </w:pPr>
      <w:r>
        <w:rPr/>
        <w:t>2.</w:t>
        <w:tab/>
        <w:t>Site Visit Procedures</w:t>
      </w:r>
    </w:p>
    <w:p>
      <w:pPr>
        <w:pStyle w:val="TocB0"/>
        <w:rPr/>
      </w:pPr>
      <w:r>
        <w:rPr/>
        <w:t>A.</w:t>
        <w:tab/>
        <w:t>Scheduling a Site Visit</w:t>
      </w:r>
    </w:p>
    <w:p>
      <w:pPr>
        <w:pStyle w:val="TocB0"/>
        <w:rPr/>
      </w:pPr>
      <w:r>
        <w:rPr/>
        <w:t>B.</w:t>
        <w:tab/>
        <w:t>Project Site Access and Check-In</w:t>
      </w:r>
    </w:p>
    <w:p>
      <w:pPr>
        <w:pStyle w:val="TocB0"/>
        <w:rPr/>
      </w:pPr>
      <w:r>
        <w:rPr/>
        <w:t>C.</w:t>
        <w:tab/>
        <w:t>Presentations</w:t>
      </w:r>
    </w:p>
    <w:p>
      <w:pPr>
        <w:pStyle w:val="TocB0"/>
        <w:rPr/>
      </w:pPr>
      <w:r>
        <w:rPr/>
        <w:t>D.</w:t>
        <w:tab/>
        <w:t>Confidentiality</w:t>
      </w:r>
    </w:p>
    <w:p>
      <w:pPr>
        <w:pStyle w:val="TocA0"/>
        <w:rPr/>
      </w:pPr>
      <w:r>
        <w:rPr/>
        <w:t>Appendix – Data Room Indices</w:t>
      </w:r>
    </w:p>
    <w:p>
      <w:pPr>
        <w:pStyle w:val="TocB0"/>
        <w:rPr/>
      </w:pPr>
      <w:r>
        <w:rPr/>
        <w:t>I.</w:t>
        <w:tab/>
        <w:t>Gleason Power I, L.L.C.</w:t>
      </w:r>
    </w:p>
    <w:p>
      <w:pPr>
        <w:pStyle w:val="TocB0"/>
        <w:rPr/>
      </w:pPr>
      <w:r>
        <w:rPr/>
        <w:t>II.</w:t>
        <w:tab/>
        <w:t>West Fork Land Development Company, L.L.C. (Wheatland)</w:t>
      </w:r>
    </w:p>
    <w:p>
      <w:pPr>
        <w:pStyle w:val="TocB0"/>
        <w:rPr/>
      </w:pPr>
      <w:r>
        <w:rPr/>
        <w:t>III.</w:t>
        <w:tab/>
        <w:t>Des Plaines Green Land Development, L.L.C. (Wilton Center)</w:t>
      </w:r>
    </w:p>
    <w:p>
      <w:pPr>
        <w:pStyle w:val="TocB0"/>
        <w:rPr/>
      </w:pPr>
      <w:r>
        <w:rPr/>
        <w:t>IV.</w:t>
        <w:tab/>
        <w:t>Las Vegas Cogeneration Limited Partnership</w:t>
      </w:r>
    </w:p>
    <w:p>
      <w:pPr>
        <w:pStyle w:val="TocB0"/>
        <w:rPr/>
      </w:pPr>
      <w:r>
        <w:rPr/>
        <w:t>V.</w:t>
        <w:tab/>
        <w:t>Las Vegas Cogeneration II, L.L.C.</w:t>
      </w:r>
    </w:p>
    <w:p>
      <w:pPr>
        <w:sectPr>
          <w:headerReference w:type="default" r:id="rId5"/>
          <w:headerReference w:type="first" r:id="rId6"/>
          <w:footerReference w:type="default" r:id="rId7"/>
          <w:footerReference w:type="first" r:id="rId8"/>
          <w:type w:val="nextPage"/>
          <w:pgSz w:w="12240" w:h="15840"/>
          <w:pgMar w:left="1440" w:right="1440" w:gutter="0" w:header="720" w:top="1960" w:footer="720" w:bottom="1296"/>
          <w:pgNumType w:fmt="upperLetter"/>
          <w:formProt w:val="false"/>
          <w:textDirection w:val="lrTb"/>
        </w:sectPr>
        <w:pStyle w:val="TocB0"/>
        <w:rPr/>
      </w:pPr>
      <w:r>
        <w:rPr/>
        <w:t>VI.</w:t>
        <w:tab/>
        <w:t>Pastoria Energy Facility, L.L.C.</w:t>
      </w:r>
    </w:p>
    <w:p>
      <w:pPr>
        <w:pStyle w:val="Scovn0"/>
        <w:rPr/>
      </w:pPr>
      <w:r>
        <w:rPr/>
        <w:t>1.</w:t>
      </w:r>
    </w:p>
    <w:p>
      <w:pPr>
        <w:pStyle w:val="Scov0"/>
        <w:rPr/>
      </w:pPr>
      <w:r>
        <w:rPr/>
        <w:t>Data Room Procedures</w:t>
      </w:r>
    </w:p>
    <w:p>
      <w:pPr>
        <w:pStyle w:val="Scovn0"/>
        <w:rPr/>
      </w:pPr>
      <w:r>
        <w:rPr/>
        <w:t>2.</w:t>
      </w:r>
    </w:p>
    <w:p>
      <w:pPr>
        <w:pStyle w:val="Scov0"/>
        <w:rPr/>
      </w:pPr>
      <w:r>
        <w:rPr/>
        <w:t>Site Visit Procedures</w:t>
      </w:r>
    </w:p>
    <w:p>
      <w:pPr>
        <w:pStyle w:val="Scovn0"/>
        <w:rPr/>
      </w:pPr>
      <w:r>
        <w:rPr/>
      </w:r>
    </w:p>
    <w:p>
      <w:pPr>
        <w:sectPr>
          <w:headerReference w:type="default" r:id="rId9"/>
          <w:headerReference w:type="first" r:id="rId10"/>
          <w:footerReference w:type="default" r:id="rId11"/>
          <w:footerReference w:type="first" r:id="rId12"/>
          <w:type w:val="nextPage"/>
          <w:pgSz w:w="12240" w:h="15840"/>
          <w:pgMar w:left="1440" w:right="1440" w:gutter="0" w:header="720" w:top="4320" w:footer="0" w:bottom="1296"/>
          <w:pgNumType w:fmt="upperLetter"/>
          <w:formProt w:val="false"/>
          <w:textDirection w:val="lrTb"/>
        </w:sectPr>
        <w:pStyle w:val="Scov0"/>
        <w:ind w:hanging="1860" w:start="3300" w:end="2160"/>
        <w:rPr/>
      </w:pPr>
      <w:r>
        <w:rPr/>
        <w:t>Appendix–Data Room Indices</w:t>
      </w:r>
    </w:p>
    <w:p>
      <w:pPr>
        <w:pStyle w:val="Sec0"/>
        <w:rPr/>
      </w:pPr>
      <w:r>
        <w:rPr/>
        <w:t>Data Room Procedures</w:t>
      </w:r>
    </w:p>
    <w:p>
      <w:pPr>
        <w:pStyle w:val="Sub0n"/>
        <w:numPr>
          <w:ilvl w:val="0"/>
          <w:numId w:val="42"/>
        </w:numPr>
        <w:tabs>
          <w:tab w:val="clear" w:pos="720"/>
          <w:tab w:val="left" w:pos="0" w:leader="none"/>
          <w:tab w:val="left" w:pos="1080" w:leader="none"/>
        </w:tabs>
        <w:ind w:hanging="1080" w:start="1800" w:end="0"/>
        <w:rPr/>
      </w:pPr>
      <w:r>
        <w:rPr/>
        <w:t>Introduction</w:t>
      </w:r>
    </w:p>
    <w:p>
      <w:pPr>
        <w:pStyle w:val="A0"/>
        <w:numPr>
          <w:ilvl w:val="0"/>
          <w:numId w:val="0"/>
        </w:numPr>
        <w:ind w:hanging="0" w:start="1440"/>
        <w:rPr/>
      </w:pPr>
      <w:r>
        <w:rPr/>
        <w:t xml:space="preserve">Enron North America Corp. (“Enron”) has set up a virtual data room containing an electronic version of all due diligence documents for Round II bidders.  This virtual data room is being administered through </w:t>
      </w:r>
      <w:r>
        <w:rPr>
          <w:b/>
          <w:bCs/>
          <w:i/>
          <w:iCs/>
        </w:rPr>
        <w:t>Deal</w:t>
      </w:r>
      <w:r>
        <w:rPr>
          <w:i/>
          <w:iCs/>
        </w:rPr>
        <w:t>Bench</w:t>
      </w:r>
      <w:r>
        <w:rPr/>
        <w:t xml:space="preserve">™, a secure online transaction platform. Each bidder will be granted access to the due diligence documents relating to the relevant project(s) for which it has been shortlisted to submit a Round II bid.  Preliminary indices of these documents are attached as an appendix hereto for your convenience.  The majority of the documents are in .pdf format and can be viewed using Adobe Acrobat Reader, which may be downloaded free of charge from </w:t>
      </w:r>
      <w:r>
        <w:rPr>
          <w:rFonts w:eastAsia="Tahoma" w:cs="Tahoma" w:ascii="Tahoma" w:hAnsi="Tahoma"/>
          <w:color w:val="0000FF"/>
          <w:u w:val="single"/>
        </w:rPr>
        <w:t>http://www.adobe.com/acrobat</w:t>
      </w:r>
      <w:r>
        <w:rPr>
          <w:color w:val="0000FF"/>
          <w:u w:val="single"/>
        </w:rPr>
        <w:t>.</w:t>
      </w:r>
      <w:r>
        <w:rPr/>
        <w:t xml:space="preserve">  Other documents listed in the indices (e.g. some drawings and oversized documents) will be supplied directly by Enron North America Corp.  Instructions on how to register for and use </w:t>
      </w:r>
      <w:r>
        <w:rPr>
          <w:b/>
          <w:bCs/>
          <w:i/>
          <w:iCs/>
        </w:rPr>
        <w:t>Deal</w:t>
      </w:r>
      <w:r>
        <w:rPr>
          <w:i/>
          <w:iCs/>
        </w:rPr>
        <w:t>Bench</w:t>
      </w:r>
      <w:r>
        <w:rPr/>
        <w:t>™ are provided below.</w:t>
      </w:r>
    </w:p>
    <w:p>
      <w:pPr>
        <w:pStyle w:val="A0"/>
        <w:numPr>
          <w:ilvl w:val="0"/>
          <w:numId w:val="0"/>
        </w:numPr>
        <w:ind w:hanging="0" w:start="1440"/>
        <w:rPr/>
      </w:pPr>
      <w:r>
        <w:rPr/>
        <w:t xml:space="preserve">Any technical questions regarding Acrobat or </w:t>
      </w:r>
      <w:r>
        <w:rPr>
          <w:b/>
          <w:bCs/>
          <w:i/>
          <w:iCs/>
        </w:rPr>
        <w:t>Deal</w:t>
      </w:r>
      <w:r>
        <w:rPr>
          <w:i/>
          <w:iCs/>
        </w:rPr>
        <w:t>Bench</w:t>
      </w:r>
      <w:r>
        <w:rPr/>
        <w:t xml:space="preserve">™ may be directed to </w:t>
      </w:r>
      <w:r>
        <w:rPr>
          <w:b/>
          <w:bCs/>
          <w:i/>
          <w:iCs/>
        </w:rPr>
        <w:t>Deal</w:t>
      </w:r>
      <w:r>
        <w:rPr>
          <w:i/>
          <w:iCs/>
        </w:rPr>
        <w:t>Bench</w:t>
      </w:r>
      <w:r>
        <w:rPr/>
        <w:t>™'s Technical Desk at 1-877-367-7170.  Technical Support is available seven days a week, 7:00 am to 7:00 pm CDT.</w:t>
      </w:r>
    </w:p>
    <w:p>
      <w:pPr>
        <w:pStyle w:val="A0"/>
        <w:numPr>
          <w:ilvl w:val="0"/>
          <w:numId w:val="0"/>
        </w:numPr>
        <w:ind w:hanging="0" w:start="1440"/>
        <w:rPr/>
      </w:pPr>
      <w:r>
        <w:rPr/>
        <w:t>Questions relating specifically to the assets or the Round II bidding process should be directed, preferably in writing by fax, to the following representatives of  Credit Suisse First Boston:</w:t>
      </w:r>
    </w:p>
    <w:tbl>
      <w:tblPr>
        <w:tblW w:w="8408" w:type="dxa"/>
        <w:jc w:val="center"/>
        <w:tblInd w:w="0" w:type="dxa"/>
        <w:tblLayout w:type="fixed"/>
        <w:tblCellMar>
          <w:top w:w="0" w:type="dxa"/>
          <w:start w:w="108" w:type="dxa"/>
          <w:bottom w:w="0" w:type="dxa"/>
          <w:end w:w="108" w:type="dxa"/>
        </w:tblCellMar>
      </w:tblPr>
      <w:tblGrid>
        <w:gridCol w:w="2802"/>
        <w:gridCol w:w="2803"/>
        <w:gridCol w:w="2803"/>
      </w:tblGrid>
      <w:tr>
        <w:trPr/>
        <w:tc>
          <w:tcPr>
            <w:tcW w:w="2802" w:type="dxa"/>
            <w:tcBorders/>
          </w:tcPr>
          <w:p>
            <w:pPr>
              <w:pStyle w:val="Normal"/>
              <w:spacing w:before="0" w:after="120"/>
              <w:jc w:val="end"/>
              <w:rPr/>
            </w:pPr>
            <w:r>
              <w:rPr/>
              <w:t>James Bartlett</w:t>
            </w:r>
          </w:p>
        </w:tc>
        <w:tc>
          <w:tcPr>
            <w:tcW w:w="2803" w:type="dxa"/>
            <w:tcBorders/>
          </w:tcPr>
          <w:p>
            <w:pPr>
              <w:pStyle w:val="Normal"/>
              <w:spacing w:before="0" w:after="120"/>
              <w:jc w:val="end"/>
              <w:rPr/>
            </w:pPr>
            <w:r>
              <w:rPr/>
              <w:t>Tel: (212) 325-4841</w:t>
            </w:r>
          </w:p>
        </w:tc>
        <w:tc>
          <w:tcPr>
            <w:tcW w:w="2803" w:type="dxa"/>
            <w:tcBorders/>
          </w:tcPr>
          <w:p>
            <w:pPr>
              <w:pStyle w:val="Normal"/>
              <w:spacing w:before="0" w:after="120"/>
              <w:jc w:val="end"/>
              <w:rPr/>
            </w:pPr>
            <w:r>
              <w:rPr/>
              <w:t>Fax: (212) 325-8322</w:t>
            </w:r>
          </w:p>
        </w:tc>
      </w:tr>
      <w:tr>
        <w:trPr/>
        <w:tc>
          <w:tcPr>
            <w:tcW w:w="2802" w:type="dxa"/>
            <w:tcBorders/>
          </w:tcPr>
          <w:p>
            <w:pPr>
              <w:pStyle w:val="Normal"/>
              <w:spacing w:before="0" w:after="120"/>
              <w:ind w:end="128"/>
              <w:jc w:val="end"/>
              <w:rPr/>
            </w:pPr>
            <w:r>
              <w:rPr/>
              <w:t>Lou Iaconetti</w:t>
            </w:r>
          </w:p>
        </w:tc>
        <w:tc>
          <w:tcPr>
            <w:tcW w:w="2803" w:type="dxa"/>
            <w:tcBorders/>
          </w:tcPr>
          <w:p>
            <w:pPr>
              <w:pStyle w:val="Normal"/>
              <w:spacing w:before="0" w:after="120"/>
              <w:jc w:val="end"/>
              <w:rPr/>
            </w:pPr>
            <w:r>
              <w:rPr/>
              <w:t>Tel: (212) 325-5085</w:t>
            </w:r>
          </w:p>
        </w:tc>
        <w:tc>
          <w:tcPr>
            <w:tcW w:w="2803" w:type="dxa"/>
            <w:tcBorders/>
          </w:tcPr>
          <w:p>
            <w:pPr>
              <w:pStyle w:val="Normal"/>
              <w:spacing w:before="0" w:after="120"/>
              <w:jc w:val="end"/>
              <w:rPr/>
            </w:pPr>
            <w:r>
              <w:rPr/>
              <w:t>Fax: (212) 325-2760</w:t>
            </w:r>
          </w:p>
        </w:tc>
      </w:tr>
      <w:tr>
        <w:trPr/>
        <w:tc>
          <w:tcPr>
            <w:tcW w:w="2802" w:type="dxa"/>
            <w:tcBorders/>
          </w:tcPr>
          <w:p>
            <w:pPr>
              <w:pStyle w:val="Normal"/>
              <w:spacing w:before="0" w:after="120"/>
              <w:jc w:val="end"/>
              <w:rPr/>
            </w:pPr>
            <w:r>
              <w:rPr/>
              <w:t>Omar Al-Farisi</w:t>
            </w:r>
          </w:p>
        </w:tc>
        <w:tc>
          <w:tcPr>
            <w:tcW w:w="2803" w:type="dxa"/>
            <w:tcBorders/>
          </w:tcPr>
          <w:p>
            <w:pPr>
              <w:pStyle w:val="Normal"/>
              <w:spacing w:before="0" w:after="120"/>
              <w:jc w:val="end"/>
              <w:rPr/>
            </w:pPr>
            <w:r>
              <w:rPr/>
              <w:t>Tel: (212) 325-2565</w:t>
            </w:r>
          </w:p>
        </w:tc>
        <w:tc>
          <w:tcPr>
            <w:tcW w:w="2803" w:type="dxa"/>
            <w:tcBorders/>
          </w:tcPr>
          <w:p>
            <w:pPr>
              <w:pStyle w:val="Normal"/>
              <w:spacing w:before="0" w:after="120"/>
              <w:jc w:val="end"/>
              <w:rPr/>
            </w:pPr>
            <w:r>
              <w:rPr/>
              <w:t>Fax: (212) 743-2631</w:t>
            </w:r>
          </w:p>
        </w:tc>
      </w:tr>
    </w:tbl>
    <w:p>
      <w:pPr>
        <w:pStyle w:val="A0"/>
        <w:rPr/>
      </w:pPr>
      <w:r>
        <w:rPr/>
        <w:t xml:space="preserve">Upon completion of the registration process detailed below, you will have access to a significant amount of confidential information.  You are permitted to print all available documents and to make copies of those printed documents.  YOU ARE NOT PERMITTED, HOWEVER, UNDER ANY CIRCUMSTANCES, TO SAVE, RETAIN, OR ATTEMPT TO DELIVER VIA E-MAIL, ELECTRONIC VERSIONS OF THE DOCUMENTS.  Please be advised that the </w:t>
      </w:r>
      <w:r>
        <w:rPr>
          <w:b/>
          <w:bCs/>
          <w:i/>
          <w:iCs/>
        </w:rPr>
        <w:t>Deal</w:t>
      </w:r>
      <w:r>
        <w:rPr>
          <w:i/>
          <w:iCs/>
        </w:rPr>
        <w:t>Bench</w:t>
      </w:r>
      <w:r>
        <w:rPr/>
        <w:t>™ software allows Enron to monitor access by each Authorized Person (as hereinafter defined).  Your activities will be monitored in order to ensure total compliance with the foregoing restrictions.</w:t>
      </w:r>
    </w:p>
    <w:p>
      <w:pPr>
        <w:pStyle w:val="A0"/>
        <w:rPr/>
      </w:pPr>
      <w:r>
        <w:rPr/>
        <w:t xml:space="preserve">All information provided on the </w:t>
      </w:r>
      <w:r>
        <w:rPr>
          <w:b/>
          <w:bCs/>
          <w:i/>
          <w:iCs/>
        </w:rPr>
        <w:t>Deal</w:t>
      </w:r>
      <w:r>
        <w:rPr>
          <w:i/>
          <w:iCs/>
        </w:rPr>
        <w:t>Bench</w:t>
      </w:r>
      <w:r>
        <w:rPr/>
        <w:t>™ platform must be kept strictly confidential and treated in the manner set forth in the Confidentiality Agreement executed in favor of Enron.</w:t>
      </w:r>
    </w:p>
    <w:p>
      <w:pPr>
        <w:pStyle w:val="Sub0n"/>
        <w:numPr>
          <w:ilvl w:val="0"/>
          <w:numId w:val="43"/>
        </w:numPr>
        <w:tabs>
          <w:tab w:val="clear" w:pos="720"/>
          <w:tab w:val="left" w:pos="0" w:leader="none"/>
          <w:tab w:val="left" w:pos="1040" w:leader="none"/>
          <w:tab w:val="left" w:pos="1080" w:leader="none"/>
        </w:tabs>
        <w:ind w:hanging="360" w:start="1800" w:end="0"/>
        <w:rPr/>
      </w:pPr>
      <w:r>
        <w:rPr/>
        <w:t>Registering</w:t>
      </w:r>
    </w:p>
    <w:p>
      <w:pPr>
        <w:pStyle w:val="A0"/>
        <w:rPr>
          <w:color w:val="000000"/>
        </w:rPr>
      </w:pPr>
      <w:r>
        <w:rPr>
          <w:color w:val="000000"/>
        </w:rPr>
        <w:t>The process for accessing due diligence documents will be as follows:</w:t>
      </w:r>
    </w:p>
    <w:p>
      <w:pPr>
        <w:pStyle w:val="A0n"/>
        <w:numPr>
          <w:ilvl w:val="0"/>
          <w:numId w:val="3"/>
        </w:numPr>
        <w:tabs>
          <w:tab w:val="clear" w:pos="720"/>
          <w:tab w:val="left" w:pos="0" w:leader="none"/>
        </w:tabs>
        <w:ind w:hanging="720" w:start="2160"/>
        <w:rPr>
          <w:color w:val="000000"/>
        </w:rPr>
      </w:pPr>
      <w:r>
        <w:rPr/>
        <w:t xml:space="preserve">Your company should submit a list of names and e-mail addresses of all deal team members, including company officials, counsel, outside consultants, etc., requiring access to the due diligence materials to </w:t>
      </w:r>
      <w:r>
        <w:rPr>
          <w:b/>
          <w:bCs/>
        </w:rPr>
        <w:t>Jinsung Myung via e-mail (jinsung.myung@enron.com) or fax (713-646-8863)</w:t>
      </w:r>
      <w:r>
        <w:rPr/>
        <w:t>.  The list should indicate who will be the deal team leader from your company.  Each of the deal team members listed will become an authorized person (an "Authorized Person") and be able to view due diligence</w:t>
      </w:r>
      <w:r>
        <w:rPr>
          <w:color w:val="000000"/>
        </w:rPr>
        <w:t xml:space="preserve"> documents.  Each Authorized Person will have access to all due diligence documents in the electronic data room relating to the relevant asset(s) from October 6, 2000 through October 30, 2000.  All Authorized Persons must abide by the terms and conditions contained in the Confidentiality Agreement signed in September 2000 between your company and Enron.</w:t>
      </w:r>
    </w:p>
    <w:p>
      <w:pPr>
        <w:pStyle w:val="A0n"/>
        <w:numPr>
          <w:ilvl w:val="0"/>
          <w:numId w:val="3"/>
        </w:numPr>
        <w:tabs>
          <w:tab w:val="clear" w:pos="720"/>
          <w:tab w:val="left" w:pos="0" w:leader="none"/>
        </w:tabs>
        <w:ind w:hanging="720" w:start="2160"/>
        <w:rPr/>
      </w:pPr>
      <w:r>
        <w:rPr/>
        <w:t>Each individual you identify as an Authorized Person will receive an invitation e-mail, in the form illustrated in Figure 1 below, for each applicable asset which will include a 16-digit Deal Key number.</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Normal"/>
        <w:spacing w:lineRule="atLeast" w:line="240"/>
        <w:ind w:start="1440" w:end="0"/>
        <w:rPr>
          <w:rFonts w:ascii="Tahoma" w:hAnsi="Tahoma" w:eastAsia="Tahoma" w:cs="Tahoma"/>
          <w:color w:val="000000"/>
        </w:rPr>
      </w:pPr>
      <w:r>
        <w:rPr>
          <w:rFonts w:eastAsia="Tahoma" w:cs="Tahoma" w:ascii="Tahoma" w:hAnsi="Tahoma"/>
          <w:color w:val="000000"/>
        </w:rPr>
        <w:drawing>
          <wp:inline distT="0" distB="0" distL="0" distR="0">
            <wp:extent cx="5461635" cy="3968115"/>
            <wp:effectExtent l="0" t="0" r="0" b="0"/>
            <wp:docPr id="1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title=""/>
                    <pic:cNvPicPr>
                      <a:picLocks noChangeAspect="1" noChangeArrowheads="1"/>
                    </pic:cNvPicPr>
                  </pic:nvPicPr>
                  <pic:blipFill>
                    <a:blip r:embed="rId13"/>
                    <a:stretch>
                      <a:fillRect/>
                    </a:stretch>
                  </pic:blipFill>
                  <pic:spPr bwMode="auto">
                    <a:xfrm>
                      <a:off x="0" y="0"/>
                      <a:ext cx="5461635" cy="3968115"/>
                    </a:xfrm>
                    <a:prstGeom prst="rect">
                      <a:avLst/>
                    </a:prstGeom>
                    <a:noFill/>
                  </pic:spPr>
                </pic:pic>
              </a:graphicData>
            </a:graphic>
          </wp:inline>
        </w:drawing>
      </w:r>
    </w:p>
    <w:p>
      <w:pPr>
        <w:pStyle w:val="Normal"/>
        <w:spacing w:lineRule="atLeast" w:line="240"/>
        <w:ind w:firstLine="720" w:start="1440" w:end="0"/>
        <w:rPr>
          <w:rFonts w:ascii="Tahoma" w:hAnsi="Tahoma" w:eastAsia="Tahoma" w:cs="Tahoma"/>
          <w:color w:val="000000"/>
        </w:rPr>
      </w:pPr>
      <w:r>
        <w:rPr>
          <w:rFonts w:eastAsia="Tahoma" w:cs="Tahoma" w:ascii="Tahoma" w:hAnsi="Tahoma"/>
          <w:color w:val="000000"/>
        </w:rPr>
        <w:tab/>
        <w:tab/>
        <w:tab/>
        <w:tab/>
        <w:t>Figure 1</w:t>
      </w:r>
      <w:r>
        <w:br w:type="page"/>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A0n"/>
        <w:numPr>
          <w:ilvl w:val="0"/>
          <w:numId w:val="3"/>
        </w:numPr>
        <w:tabs>
          <w:tab w:val="clear" w:pos="720"/>
          <w:tab w:val="left" w:pos="0" w:leader="none"/>
        </w:tabs>
        <w:ind w:hanging="720" w:start="2160"/>
        <w:rPr/>
      </w:pPr>
      <w:r>
        <w:rPr/>
        <w:t xml:space="preserve">Using either Microsoft Internet Explorer (version 3.0 or higher) or Netscape Navigator (version 3.0 or higher), go to </w:t>
      </w:r>
      <w:r>
        <w:rPr>
          <w:rFonts w:eastAsia="Tahoma" w:cs="Tahoma" w:ascii="Tahoma" w:hAnsi="Tahoma"/>
          <w:color w:val="0000FF"/>
          <w:u w:val="single"/>
        </w:rPr>
        <w:t>http://www.DealBench.com/</w:t>
      </w:r>
      <w:r>
        <w:rPr>
          <w:color w:val="0000FF"/>
          <w:u w:val="single"/>
        </w:rPr>
        <w:t xml:space="preserve"> </w:t>
      </w:r>
      <w:r>
        <w:rPr/>
        <w:t xml:space="preserve">to register.  You will be greeted by the </w:t>
      </w:r>
      <w:r>
        <w:rPr>
          <w:b/>
          <w:bCs/>
          <w:i/>
          <w:iCs/>
        </w:rPr>
        <w:t>Deal</w:t>
      </w:r>
      <w:r>
        <w:rPr>
          <w:i/>
          <w:iCs/>
        </w:rPr>
        <w:t>Bench</w:t>
      </w:r>
      <w:r>
        <w:rPr/>
        <w:t>™ home page, illustrated in Figure 2 below.</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Normal"/>
        <w:spacing w:lineRule="atLeast" w:line="240"/>
        <w:ind w:start="1440" w:end="0"/>
        <w:rPr>
          <w:rFonts w:ascii="Tahoma" w:hAnsi="Tahoma" w:eastAsia="Tahoma" w:cs="Tahoma"/>
          <w:color w:val="000000"/>
        </w:rPr>
      </w:pPr>
      <w:r>
        <w:rPr>
          <w:rFonts w:eastAsia="Tahoma" w:cs="Tahoma" w:ascii="Tahoma" w:hAnsi="Tahoma"/>
          <w:color w:val="000000"/>
        </w:rPr>
        <w:drawing>
          <wp:inline distT="0" distB="0" distL="0" distR="0">
            <wp:extent cx="5461635" cy="4085590"/>
            <wp:effectExtent l="0" t="0" r="0" b="0"/>
            <wp:docPr id="1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title=""/>
                    <pic:cNvPicPr>
                      <a:picLocks noChangeAspect="1" noChangeArrowheads="1"/>
                    </pic:cNvPicPr>
                  </pic:nvPicPr>
                  <pic:blipFill>
                    <a:blip r:embed="rId14"/>
                    <a:stretch>
                      <a:fillRect/>
                    </a:stretch>
                  </pic:blipFill>
                  <pic:spPr bwMode="auto">
                    <a:xfrm>
                      <a:off x="0" y="0"/>
                      <a:ext cx="5461635" cy="4085590"/>
                    </a:xfrm>
                    <a:prstGeom prst="rect">
                      <a:avLst/>
                    </a:prstGeom>
                    <a:noFill/>
                  </pic:spPr>
                </pic:pic>
              </a:graphicData>
            </a:graphic>
          </wp:inline>
        </w:drawing>
      </w:r>
    </w:p>
    <w:p>
      <w:pPr>
        <w:pStyle w:val="Normal"/>
        <w:spacing w:lineRule="atLeast" w:line="240"/>
        <w:ind w:start="1440" w:end="0"/>
        <w:rPr>
          <w:rFonts w:ascii="Tahoma" w:hAnsi="Tahoma" w:eastAsia="Tahoma" w:cs="Tahoma"/>
          <w:color w:val="000000"/>
        </w:rPr>
      </w:pPr>
      <w:r>
        <w:rPr>
          <w:rFonts w:eastAsia="Tahoma" w:cs="Tahoma" w:ascii="Tahoma" w:hAnsi="Tahoma"/>
          <w:color w:val="000000"/>
        </w:rPr>
        <w:tab/>
        <w:tab/>
        <w:tab/>
        <w:tab/>
        <w:tab/>
        <w:t>Figure 2</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A0n"/>
        <w:numPr>
          <w:ilvl w:val="0"/>
          <w:numId w:val="3"/>
        </w:numPr>
        <w:tabs>
          <w:tab w:val="clear" w:pos="720"/>
          <w:tab w:val="left" w:pos="0" w:leader="none"/>
        </w:tabs>
        <w:ind w:hanging="720" w:start="2160"/>
        <w:rPr/>
      </w:pPr>
      <w:r>
        <w:rPr/>
        <w:t>Click on “Register Now” to register and create your username and password.</w:t>
      </w:r>
    </w:p>
    <w:p>
      <w:pPr>
        <w:pStyle w:val="A0n"/>
        <w:numPr>
          <w:ilvl w:val="0"/>
          <w:numId w:val="3"/>
        </w:numPr>
        <w:tabs>
          <w:tab w:val="clear" w:pos="720"/>
          <w:tab w:val="left" w:pos="0" w:leader="none"/>
        </w:tabs>
        <w:ind w:hanging="720" w:start="2160"/>
        <w:rPr/>
      </w:pPr>
      <w:r>
        <w:rPr/>
        <w:t xml:space="preserve">You will be required to enter the profile information illustrated in Figure 3 below.  User names and passwords must be at least eight characters long.  Passwords must contain both letters and numerical characters.  Be sure to choose a username and password that are familiar to you, as you will have to input this information each time you log onto </w:t>
      </w:r>
      <w:r>
        <w:rPr>
          <w:b/>
          <w:bCs/>
          <w:i/>
          <w:iCs/>
        </w:rPr>
        <w:t>Deal</w:t>
      </w:r>
      <w:r>
        <w:rPr>
          <w:i/>
          <w:iCs/>
        </w:rPr>
        <w:t>Bench</w:t>
      </w:r>
      <w:r>
        <w:rPr/>
        <w:t>™.</w:t>
      </w:r>
    </w:p>
    <w:p>
      <w:pPr>
        <w:pStyle w:val="A0n"/>
        <w:numPr>
          <w:ilvl w:val="0"/>
          <w:numId w:val="3"/>
        </w:numPr>
        <w:tabs>
          <w:tab w:val="clear" w:pos="720"/>
          <w:tab w:val="left" w:pos="0" w:leader="none"/>
        </w:tabs>
        <w:ind w:hanging="720" w:start="2160"/>
        <w:rPr/>
      </w:pPr>
      <w:r>
        <w:rPr/>
        <w:t>Enter one Deal Key number (received in your invitation e-mail) in the Deal Key field at the bottom of the registration page.  You will have an opportunity to enter the other Deal Key numbers once you have completed the registration process.</w:t>
      </w:r>
    </w:p>
    <w:p>
      <w:pPr>
        <w:pStyle w:val="Normal"/>
        <w:spacing w:lineRule="atLeast" w:line="240"/>
        <w:ind w:start="1440" w:end="0"/>
        <w:rPr>
          <w:rFonts w:ascii="Tahoma" w:hAnsi="Tahoma" w:eastAsia="Tahoma" w:cs="Tahoma"/>
          <w:color w:val="000000"/>
        </w:rPr>
      </w:pPr>
      <w:r>
        <w:rPr>
          <w:rFonts w:eastAsia="Tahoma" w:cs="Tahoma" w:ascii="Tahoma" w:hAnsi="Tahoma"/>
          <w:color w:val="000000"/>
        </w:rPr>
        <w:drawing>
          <wp:inline distT="0" distB="0" distL="0" distR="0">
            <wp:extent cx="5461635" cy="3968115"/>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15"/>
                    <a:stretch>
                      <a:fillRect/>
                    </a:stretch>
                  </pic:blipFill>
                  <pic:spPr bwMode="auto">
                    <a:xfrm>
                      <a:off x="0" y="0"/>
                      <a:ext cx="5461635" cy="3968115"/>
                    </a:xfrm>
                    <a:prstGeom prst="rect">
                      <a:avLst/>
                    </a:prstGeom>
                    <a:noFill/>
                  </pic:spPr>
                </pic:pic>
              </a:graphicData>
            </a:graphic>
          </wp:inline>
        </w:drawing>
      </w:r>
    </w:p>
    <w:p>
      <w:pPr>
        <w:pStyle w:val="Normal"/>
        <w:spacing w:lineRule="atLeast" w:line="240"/>
        <w:ind w:start="1440" w:end="0"/>
        <w:rPr>
          <w:rFonts w:ascii="Tahoma" w:hAnsi="Tahoma" w:eastAsia="Tahoma" w:cs="Tahoma"/>
          <w:color w:val="000000"/>
        </w:rPr>
      </w:pPr>
      <w:r>
        <w:rPr>
          <w:rFonts w:eastAsia="Tahoma" w:cs="Tahoma" w:ascii="Tahoma" w:hAnsi="Tahoma"/>
          <w:color w:val="000000"/>
        </w:rPr>
        <w:tab/>
        <w:tab/>
        <w:tab/>
        <w:tab/>
        <w:tab/>
        <w:t>Figure 3</w:t>
      </w:r>
    </w:p>
    <w:p>
      <w:pPr>
        <w:pStyle w:val="Normal"/>
        <w:spacing w:lineRule="atLeast" w:line="240"/>
        <w:ind w:start="1440" w:end="0"/>
        <w:rPr>
          <w:rFonts w:ascii="Tahoma" w:hAnsi="Tahoma" w:eastAsia="Tahoma" w:cs="Tahoma"/>
          <w:color w:val="000000"/>
        </w:rPr>
      </w:pPr>
      <w:r>
        <w:rPr>
          <w:rFonts w:eastAsia="Tahoma" w:cs="Tahoma" w:ascii="Tahoma" w:hAnsi="Tahoma"/>
          <w:color w:val="000000"/>
        </w:rPr>
      </w:r>
    </w:p>
    <w:p>
      <w:pPr>
        <w:pStyle w:val="A0n"/>
        <w:numPr>
          <w:ilvl w:val="0"/>
          <w:numId w:val="3"/>
        </w:numPr>
        <w:tabs>
          <w:tab w:val="clear" w:pos="720"/>
          <w:tab w:val="left" w:pos="0" w:leader="none"/>
        </w:tabs>
        <w:ind w:hanging="720" w:start="2160"/>
        <w:rPr/>
      </w:pPr>
      <w:r>
        <w:rPr/>
        <w:t xml:space="preserve">Log back onto </w:t>
      </w:r>
      <w:r>
        <w:rPr>
          <w:b/>
          <w:bCs/>
          <w:i/>
          <w:iCs/>
        </w:rPr>
        <w:t>Deal</w:t>
      </w:r>
      <w:r>
        <w:rPr>
          <w:i/>
          <w:iCs/>
        </w:rPr>
        <w:t>Bench</w:t>
      </w:r>
      <w:r>
        <w:rPr/>
        <w:t>™ using the username and password you created during the registration process.</w:t>
      </w:r>
    </w:p>
    <w:p>
      <w:pPr>
        <w:pStyle w:val="A0n"/>
        <w:numPr>
          <w:ilvl w:val="0"/>
          <w:numId w:val="3"/>
        </w:numPr>
        <w:tabs>
          <w:tab w:val="clear" w:pos="720"/>
          <w:tab w:val="left" w:pos="0" w:leader="none"/>
        </w:tabs>
        <w:ind w:hanging="720" w:start="2160"/>
        <w:rPr/>
      </w:pPr>
      <w:r>
        <w:rPr/>
        <w:t>Bidders who receive multiple Deal Keys will have to enter the other Deal Keys into the system.  To do this:</w:t>
      </w:r>
    </w:p>
    <w:p>
      <w:pPr>
        <w:pStyle w:val="A0b"/>
        <w:numPr>
          <w:ilvl w:val="0"/>
          <w:numId w:val="44"/>
        </w:numPr>
        <w:tabs>
          <w:tab w:val="clear" w:pos="2520"/>
          <w:tab w:val="left" w:pos="0" w:leader="none"/>
          <w:tab w:val="left" w:pos="2160" w:leader="none"/>
        </w:tabs>
        <w:ind w:hanging="720" w:start="2880"/>
        <w:rPr/>
      </w:pPr>
      <w:r>
        <w:rPr/>
        <w:t xml:space="preserve">On the </w:t>
      </w:r>
      <w:r>
        <w:rPr>
          <w:b/>
          <w:bCs/>
          <w:i/>
          <w:iCs/>
        </w:rPr>
        <w:t>Deal</w:t>
      </w:r>
      <w:r>
        <w:rPr>
          <w:i/>
          <w:iCs/>
        </w:rPr>
        <w:t>Bench</w:t>
      </w:r>
      <w:r>
        <w:rPr/>
        <w:t>™ home page, click on the "Update Profile" button.</w:t>
      </w:r>
    </w:p>
    <w:p>
      <w:pPr>
        <w:pStyle w:val="A0b"/>
        <w:numPr>
          <w:ilvl w:val="0"/>
          <w:numId w:val="44"/>
        </w:numPr>
        <w:tabs>
          <w:tab w:val="clear" w:pos="2520"/>
          <w:tab w:val="left" w:pos="0" w:leader="none"/>
          <w:tab w:val="left" w:pos="2160" w:leader="none"/>
        </w:tabs>
        <w:ind w:hanging="720" w:start="2880"/>
        <w:rPr/>
      </w:pPr>
      <w:r>
        <w:rPr/>
        <w:t>Enter the Deal Key number (one at a time) at the bottom of the registration page.  Press "Submit" once and on the next page press "Yes" to confirm that the information is correct.</w:t>
      </w:r>
    </w:p>
    <w:p>
      <w:pPr>
        <w:pStyle w:val="A0b"/>
        <w:numPr>
          <w:ilvl w:val="0"/>
          <w:numId w:val="44"/>
        </w:numPr>
        <w:tabs>
          <w:tab w:val="clear" w:pos="2520"/>
          <w:tab w:val="left" w:pos="0" w:leader="none"/>
          <w:tab w:val="left" w:pos="2160" w:leader="none"/>
        </w:tabs>
        <w:ind w:hanging="720" w:start="2880"/>
        <w:rPr/>
      </w:pPr>
      <w:r>
        <w:rPr/>
        <w:t>Repeat the process for each additional Deal Key you have received.  For example, if you are evaluating three projects, you must receive and enter two additional Deal Key numbers (you have already entered the first one during the initial registration process).</w:t>
      </w:r>
    </w:p>
    <w:p>
      <w:pPr>
        <w:pStyle w:val="A0b"/>
        <w:numPr>
          <w:ilvl w:val="0"/>
          <w:numId w:val="44"/>
        </w:numPr>
        <w:tabs>
          <w:tab w:val="clear" w:pos="2520"/>
          <w:tab w:val="left" w:pos="0" w:leader="none"/>
          <w:tab w:val="left" w:pos="2160" w:leader="none"/>
        </w:tabs>
        <w:ind w:hanging="720" w:start="2880"/>
        <w:rPr/>
      </w:pPr>
      <w:r>
        <w:rPr/>
        <w:t xml:space="preserve">Once you have entered all your Deal Keys and have gained access to the relevant projects, you will have access to these same projects every time you subsequently log onto </w:t>
      </w:r>
      <w:r>
        <w:rPr>
          <w:b/>
          <w:bCs/>
          <w:i/>
          <w:iCs/>
        </w:rPr>
        <w:t>Deal</w:t>
      </w:r>
      <w:r>
        <w:rPr>
          <w:i/>
          <w:iCs/>
        </w:rPr>
        <w:t>Bench</w:t>
      </w:r>
      <w:r>
        <w:rPr/>
        <w:t>™.</w:t>
      </w:r>
    </w:p>
    <w:p>
      <w:pPr>
        <w:pStyle w:val="Normal"/>
        <w:numPr>
          <w:ilvl w:val="0"/>
          <w:numId w:val="0"/>
        </w:numPr>
        <w:spacing w:lineRule="atLeast" w:line="240"/>
        <w:ind w:hanging="0" w:start="1440" w:end="0"/>
        <w:rPr>
          <w:rFonts w:ascii="Tahoma" w:hAnsi="Tahoma" w:eastAsia="Tahoma" w:cs="Tahoma"/>
          <w:color w:val="000000"/>
        </w:rPr>
      </w:pPr>
      <w:r>
        <w:rPr>
          <w:rFonts w:eastAsia="Tahoma" w:cs="Tahoma" w:ascii="Tahoma" w:hAnsi="Tahoma"/>
          <w:color w:val="000000"/>
        </w:rPr>
        <w:drawing>
          <wp:inline distT="0" distB="0" distL="0" distR="0">
            <wp:extent cx="5461635" cy="3968115"/>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16"/>
                    <a:stretch>
                      <a:fillRect/>
                    </a:stretch>
                  </pic:blipFill>
                  <pic:spPr bwMode="auto">
                    <a:xfrm>
                      <a:off x="0" y="0"/>
                      <a:ext cx="5461635" cy="3968115"/>
                    </a:xfrm>
                    <a:prstGeom prst="rect">
                      <a:avLst/>
                    </a:prstGeom>
                    <a:noFill/>
                  </pic:spPr>
                </pic:pic>
              </a:graphicData>
            </a:graphic>
          </wp:inline>
        </w:drawing>
      </w:r>
    </w:p>
    <w:p>
      <w:pPr>
        <w:pStyle w:val="Normal"/>
        <w:numPr>
          <w:ilvl w:val="0"/>
          <w:numId w:val="0"/>
        </w:numPr>
        <w:spacing w:lineRule="atLeast" w:line="240"/>
        <w:ind w:hanging="0" w:start="1440" w:end="0"/>
        <w:jc w:val="center"/>
        <w:rPr>
          <w:color w:val="000000"/>
        </w:rPr>
      </w:pPr>
      <w:r>
        <w:rPr>
          <w:color w:val="000000"/>
        </w:rPr>
        <w:t>Figure 4</w:t>
      </w:r>
    </w:p>
    <w:p>
      <w:pPr>
        <w:pStyle w:val="A0n"/>
        <w:numPr>
          <w:ilvl w:val="0"/>
          <w:numId w:val="3"/>
        </w:numPr>
        <w:tabs>
          <w:tab w:val="clear" w:pos="720"/>
          <w:tab w:val="left" w:pos="0" w:leader="none"/>
        </w:tabs>
        <w:ind w:hanging="720" w:start="2160"/>
        <w:rPr/>
      </w:pPr>
      <w:r>
        <w:rPr/>
        <w:t>On the [home page] click on the “Acquisitions &amp; Divestitures” link (seen in Figure 4 above), which will take you to the list of projects to which you have access.</w:t>
      </w:r>
      <w:r>
        <w:br w:type="page"/>
      </w:r>
    </w:p>
    <w:p>
      <w:pPr>
        <w:pStyle w:val="Sub0n"/>
        <w:numPr>
          <w:ilvl w:val="1"/>
          <w:numId w:val="45"/>
        </w:numPr>
        <w:tabs>
          <w:tab w:val="clear" w:pos="720"/>
          <w:tab w:val="left" w:pos="0" w:leader="none"/>
          <w:tab w:val="left" w:pos="1040" w:leader="none"/>
        </w:tabs>
        <w:ind w:hanging="1060" w:start="1760" w:end="0"/>
        <w:rPr>
          <w:rFonts w:ascii="Tahoma" w:hAnsi="Tahoma" w:eastAsia="Tahoma" w:cs="Tahoma"/>
        </w:rPr>
      </w:pPr>
      <w:r>
        <w:rPr/>
        <w:t>Viewing Documents</w:t>
      </w:r>
    </w:p>
    <w:p>
      <w:pPr>
        <w:pStyle w:val="A0"/>
        <w:numPr>
          <w:ilvl w:val="0"/>
          <w:numId w:val="0"/>
        </w:numPr>
        <w:ind w:hanging="0" w:start="1440"/>
        <w:rPr/>
      </w:pPr>
      <w:r>
        <w:rPr/>
        <w:t>Once you have clicked on a project name, you will be taken to that project's page as illustrated in Figure 5 below.</w:t>
      </w:r>
    </w:p>
    <w:p>
      <w:pPr>
        <w:pStyle w:val="Normal"/>
        <w:numPr>
          <w:ilvl w:val="0"/>
          <w:numId w:val="0"/>
        </w:numPr>
        <w:ind w:hanging="0" w:start="1440" w:end="0"/>
        <w:rPr>
          <w:rFonts w:ascii="Tahoma" w:hAnsi="Tahoma" w:eastAsia="Tahoma" w:cs="Tahoma"/>
        </w:rPr>
      </w:pPr>
      <w:r>
        <w:rPr>
          <w:rFonts w:eastAsia="Tahoma" w:cs="Tahoma" w:ascii="Tahoma" w:hAnsi="Tahoma"/>
        </w:rPr>
      </w:r>
    </w:p>
    <w:p>
      <w:pPr>
        <w:pStyle w:val="Normal"/>
        <w:numPr>
          <w:ilvl w:val="0"/>
          <w:numId w:val="0"/>
        </w:numPr>
        <w:ind w:hanging="0" w:start="1440" w:end="0"/>
        <w:rPr>
          <w:rFonts w:ascii="Tahoma" w:hAnsi="Tahoma" w:eastAsia="Tahoma" w:cs="Tahoma"/>
        </w:rPr>
      </w:pPr>
      <w:r>
        <w:rPr>
          <w:rFonts w:eastAsia="Tahoma" w:cs="Tahoma" w:ascii="Tahoma" w:hAnsi="Tahoma"/>
        </w:rPr>
        <w:drawing>
          <wp:inline distT="0" distB="0" distL="0" distR="0">
            <wp:extent cx="5461635" cy="4085590"/>
            <wp:effectExtent l="0" t="0" r="0" b="0"/>
            <wp:docPr id="1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title=""/>
                    <pic:cNvPicPr>
                      <a:picLocks noChangeAspect="1" noChangeArrowheads="1"/>
                    </pic:cNvPicPr>
                  </pic:nvPicPr>
                  <pic:blipFill>
                    <a:blip r:embed="rId17"/>
                    <a:stretch>
                      <a:fillRect/>
                    </a:stretch>
                  </pic:blipFill>
                  <pic:spPr bwMode="auto">
                    <a:xfrm>
                      <a:off x="0" y="0"/>
                      <a:ext cx="5461635" cy="4085590"/>
                    </a:xfrm>
                    <a:prstGeom prst="rect">
                      <a:avLst/>
                    </a:prstGeom>
                    <a:noFill/>
                  </pic:spPr>
                </pic:pic>
              </a:graphicData>
            </a:graphic>
          </wp:inline>
        </w:drawing>
      </w:r>
    </w:p>
    <w:p>
      <w:pPr>
        <w:pStyle w:val="Normal"/>
        <w:numPr>
          <w:ilvl w:val="0"/>
          <w:numId w:val="0"/>
        </w:numPr>
        <w:ind w:hanging="0" w:start="1440" w:end="0"/>
        <w:rPr>
          <w:rFonts w:ascii="Tahoma" w:hAnsi="Tahoma" w:eastAsia="Tahoma" w:cs="Tahoma"/>
        </w:rPr>
      </w:pPr>
      <w:r>
        <w:rPr>
          <w:rFonts w:eastAsia="Tahoma" w:cs="Tahoma" w:ascii="Tahoma" w:hAnsi="Tahoma"/>
        </w:rPr>
        <w:tab/>
        <w:tab/>
        <w:tab/>
        <w:tab/>
        <w:tab/>
        <w:t>Figure 5</w:t>
      </w:r>
    </w:p>
    <w:p>
      <w:pPr>
        <w:pStyle w:val="A0"/>
        <w:numPr>
          <w:ilvl w:val="0"/>
          <w:numId w:val="0"/>
        </w:numPr>
        <w:ind w:hanging="0" w:start="1440"/>
        <w:rPr/>
      </w:pPr>
      <w:r>
        <w:rPr/>
        <w:t>Each project page has the following sections:</w:t>
      </w:r>
    </w:p>
    <w:p>
      <w:pPr>
        <w:pStyle w:val="A0b"/>
        <w:numPr>
          <w:ilvl w:val="0"/>
          <w:numId w:val="45"/>
        </w:numPr>
        <w:tabs>
          <w:tab w:val="clear" w:pos="2520"/>
          <w:tab w:val="left" w:pos="0" w:leader="none"/>
          <w:tab w:val="left" w:pos="2160" w:leader="none"/>
        </w:tabs>
        <w:ind w:hanging="720" w:start="2880"/>
        <w:rPr/>
      </w:pPr>
      <w:r>
        <w:rPr>
          <w:u w:val="single"/>
        </w:rPr>
        <w:t>Section 1 - Section 6</w:t>
      </w:r>
      <w:r>
        <w:rPr/>
        <w:br/>
        <w:t xml:space="preserve">These sections should contain all of the project documents.  Refer to the updated versions of due diligence indices provided as an appendix hereto for a complete listing of documents in these sections.  The names of documents are truncated in </w:t>
      </w:r>
      <w:r>
        <w:rPr>
          <w:b/>
          <w:bCs/>
          <w:i/>
          <w:iCs/>
        </w:rPr>
        <w:t>Deal</w:t>
      </w:r>
      <w:r>
        <w:rPr>
          <w:i/>
          <w:iCs/>
        </w:rPr>
        <w:t>Bench</w:t>
      </w:r>
      <w:r>
        <w:rPr/>
        <w:t>™ and therefore it will prove useful to have a hard copy of the due diligence index in hand.  Updated versions of these indices will be posted in the "Due Diligence List" section.</w:t>
      </w:r>
    </w:p>
    <w:p>
      <w:pPr>
        <w:pStyle w:val="A0b"/>
        <w:numPr>
          <w:ilvl w:val="0"/>
          <w:numId w:val="45"/>
        </w:numPr>
        <w:tabs>
          <w:tab w:val="clear" w:pos="2520"/>
          <w:tab w:val="left" w:pos="0" w:leader="none"/>
          <w:tab w:val="left" w:pos="2160" w:leader="none"/>
        </w:tabs>
        <w:ind w:hanging="720" w:start="2880"/>
        <w:rPr/>
      </w:pPr>
      <w:r>
        <w:rPr>
          <w:u w:val="single"/>
        </w:rPr>
        <w:t>New Documents</w:t>
        <w:br/>
      </w:r>
      <w:r>
        <w:rPr/>
        <w:t>Any new documents added to the due diligence indices, will be posted in the "New Documents" section as well as in the correct location in sections 1-6.  The online version of the due diligence indices will also be updated as appropriate.</w:t>
      </w:r>
    </w:p>
    <w:p>
      <w:pPr>
        <w:pStyle w:val="A0b"/>
        <w:numPr>
          <w:ilvl w:val="0"/>
          <w:numId w:val="45"/>
        </w:numPr>
        <w:tabs>
          <w:tab w:val="clear" w:pos="2520"/>
          <w:tab w:val="left" w:pos="0" w:leader="none"/>
          <w:tab w:val="left" w:pos="2160" w:leader="none"/>
        </w:tabs>
        <w:ind w:hanging="720" w:start="2880"/>
        <w:rPr/>
      </w:pPr>
      <w:r>
        <w:rPr>
          <w:u w:val="single"/>
        </w:rPr>
        <w:t>Due Diligence List / Plant Pictures</w:t>
      </w:r>
      <w:r>
        <w:rPr/>
        <w:br/>
        <w:t>The most recent versions of the complete due diligence indices will be found here.  Also look for color plant pictures here.</w:t>
      </w:r>
    </w:p>
    <w:p>
      <w:pPr>
        <w:pStyle w:val="A0b"/>
        <w:numPr>
          <w:ilvl w:val="0"/>
          <w:numId w:val="45"/>
        </w:numPr>
        <w:tabs>
          <w:tab w:val="clear" w:pos="2520"/>
          <w:tab w:val="left" w:pos="0" w:leader="none"/>
          <w:tab w:val="left" w:pos="2160" w:leader="none"/>
        </w:tabs>
        <w:ind w:hanging="720" w:start="2880"/>
        <w:rPr/>
      </w:pPr>
      <w:r>
        <w:rPr>
          <w:u w:val="single"/>
        </w:rPr>
        <w:t>Management Presentations</w:t>
        <w:br/>
      </w:r>
      <w:r>
        <w:rPr/>
        <w:t>Narrated management presentations may be viewed here.</w:t>
      </w:r>
    </w:p>
    <w:p>
      <w:pPr>
        <w:pStyle w:val="A0b"/>
        <w:numPr>
          <w:ilvl w:val="0"/>
          <w:numId w:val="45"/>
        </w:numPr>
        <w:tabs>
          <w:tab w:val="clear" w:pos="2520"/>
          <w:tab w:val="left" w:pos="0" w:leader="none"/>
          <w:tab w:val="left" w:pos="2160" w:leader="none"/>
        </w:tabs>
        <w:ind w:hanging="720" w:start="2880"/>
        <w:rPr/>
      </w:pPr>
      <w:r>
        <w:rPr>
          <w:u w:val="single"/>
        </w:rPr>
        <w:t>Linked Documents</w:t>
        <w:br/>
      </w:r>
      <w:r>
        <w:rPr/>
        <w:t>Provides a link to the Enron home page.</w:t>
      </w:r>
    </w:p>
    <w:p>
      <w:pPr>
        <w:pStyle w:val="A0b"/>
        <w:numPr>
          <w:ilvl w:val="0"/>
          <w:numId w:val="45"/>
        </w:numPr>
        <w:tabs>
          <w:tab w:val="clear" w:pos="2520"/>
          <w:tab w:val="left" w:pos="0" w:leader="none"/>
          <w:tab w:val="left" w:pos="2160" w:leader="none"/>
        </w:tabs>
        <w:ind w:hanging="720" w:start="2880"/>
        <w:rPr/>
      </w:pPr>
      <w:r>
        <w:rPr>
          <w:u w:val="single"/>
        </w:rPr>
        <w:t>Confidentiality Agreement</w:t>
      </w:r>
      <w:r>
        <w:rPr/>
        <w:br/>
        <w:t>Not Applicable</w:t>
      </w:r>
    </w:p>
    <w:p>
      <w:pPr>
        <w:pStyle w:val="A0"/>
        <w:numPr>
          <w:ilvl w:val="0"/>
          <w:numId w:val="0"/>
        </w:numPr>
        <w:ind w:hanging="0" w:start="1440"/>
        <w:rPr/>
      </w:pPr>
      <w:r>
        <w:rPr/>
        <w:t>To view a document click on the document name.  The appropriate reader (Acrobat, Excel, Word, etc.) will be opened to view or print the document.</w:t>
      </w:r>
    </w:p>
    <w:p>
      <w:pPr>
        <w:pStyle w:val="Normal"/>
        <w:numPr>
          <w:ilvl w:val="0"/>
          <w:numId w:val="0"/>
        </w:numPr>
        <w:ind w:hanging="0" w:start="0"/>
        <w:rPr/>
      </w:pPr>
      <w:r>
        <w:rPr/>
      </w:r>
    </w:p>
    <w:p>
      <w:pPr>
        <w:pStyle w:val="Sec0"/>
        <w:numPr>
          <w:ilvl w:val="0"/>
          <w:numId w:val="0"/>
        </w:numPr>
        <w:ind w:hanging="0" w:start="0"/>
        <w:rPr/>
      </w:pPr>
      <w:r>
        <w:rPr/>
        <w:t>Site Visit Procedures</w:t>
      </w:r>
    </w:p>
    <w:p>
      <w:pPr>
        <w:pStyle w:val="Sub0n"/>
        <w:numPr>
          <w:ilvl w:val="0"/>
          <w:numId w:val="45"/>
        </w:numPr>
        <w:tabs>
          <w:tab w:val="clear" w:pos="720"/>
          <w:tab w:val="left" w:pos="0" w:leader="none"/>
          <w:tab w:val="left" w:pos="1080" w:leader="none"/>
        </w:tabs>
        <w:ind w:hanging="1080" w:start="1800" w:end="0"/>
        <w:rPr/>
      </w:pPr>
      <w:r>
        <w:rPr/>
        <w:t>Scheduling a Site Visit</w:t>
      </w:r>
    </w:p>
    <w:p>
      <w:pPr>
        <w:pStyle w:val="A0b"/>
        <w:numPr>
          <w:ilvl w:val="0"/>
          <w:numId w:val="45"/>
        </w:numPr>
        <w:tabs>
          <w:tab w:val="clear" w:pos="2520"/>
          <w:tab w:val="left" w:pos="0" w:leader="none"/>
          <w:tab w:val="left" w:pos="2160" w:leader="none"/>
        </w:tabs>
        <w:spacing w:before="80" w:after="80"/>
        <w:ind w:hanging="720" w:start="2880"/>
        <w:rPr/>
      </w:pPr>
      <w:r>
        <w:rPr/>
        <w:t>Access to the various project sites is strictly limited and is available only by appointment.</w:t>
      </w:r>
    </w:p>
    <w:p>
      <w:pPr>
        <w:pStyle w:val="A0b"/>
        <w:numPr>
          <w:ilvl w:val="0"/>
          <w:numId w:val="45"/>
        </w:numPr>
        <w:tabs>
          <w:tab w:val="clear" w:pos="2520"/>
          <w:tab w:val="left" w:pos="0" w:leader="none"/>
          <w:tab w:val="left" w:pos="2160" w:leader="none"/>
        </w:tabs>
        <w:spacing w:before="80" w:after="80"/>
        <w:ind w:hanging="720" w:start="2880"/>
        <w:rPr/>
      </w:pPr>
      <w:r>
        <w:rPr/>
        <w:t>Appointments to visit the project sites must be made through the following Site Visit Scheduling Coordinators:</w:t>
      </w:r>
    </w:p>
    <w:p>
      <w:pPr>
        <w:pStyle w:val="B0bbox"/>
        <w:numPr>
          <w:ilvl w:val="0"/>
          <w:numId w:val="8"/>
        </w:numPr>
        <w:tabs>
          <w:tab w:val="clear" w:pos="720"/>
          <w:tab w:val="left" w:pos="0" w:leader="none"/>
        </w:tabs>
        <w:spacing w:before="80" w:after="80"/>
        <w:ind w:hanging="360" w:start="2880"/>
        <w:rPr/>
      </w:pPr>
      <w:r>
        <w:rPr/>
        <w:t>Peakers: Don Miller, Tel: (713) 853-0492, fax (713) 646-8863, e-mail don.miller@enron.com</w:t>
      </w:r>
    </w:p>
    <w:p>
      <w:pPr>
        <w:pStyle w:val="B0bbox"/>
        <w:numPr>
          <w:ilvl w:val="0"/>
          <w:numId w:val="8"/>
        </w:numPr>
        <w:tabs>
          <w:tab w:val="clear" w:pos="720"/>
          <w:tab w:val="left" w:pos="0" w:leader="none"/>
        </w:tabs>
        <w:spacing w:before="80" w:after="80"/>
        <w:ind w:hanging="360" w:start="2880"/>
        <w:rPr/>
      </w:pPr>
      <w:r>
        <w:rPr/>
        <w:t>West Assets: Ron Coker, Tel: (713) 345-8992, fax (713) 646-8863,  e-mail ron.coker@enron.com</w:t>
      </w:r>
    </w:p>
    <w:p>
      <w:pPr>
        <w:pStyle w:val="A0b"/>
        <w:numPr>
          <w:ilvl w:val="0"/>
          <w:numId w:val="46"/>
        </w:numPr>
        <w:tabs>
          <w:tab w:val="clear" w:pos="2520"/>
          <w:tab w:val="left" w:pos="0" w:leader="none"/>
          <w:tab w:val="left" w:pos="2160" w:leader="none"/>
        </w:tabs>
        <w:spacing w:before="80" w:after="80"/>
        <w:ind w:hanging="720" w:start="2880"/>
        <w:rPr/>
      </w:pPr>
      <w:r>
        <w:rPr/>
        <w:t>[ Site Visit Form ]</w:t>
      </w:r>
    </w:p>
    <w:p>
      <w:pPr>
        <w:pStyle w:val="A0b"/>
        <w:numPr>
          <w:ilvl w:val="0"/>
          <w:numId w:val="46"/>
        </w:numPr>
        <w:tabs>
          <w:tab w:val="clear" w:pos="2520"/>
          <w:tab w:val="left" w:pos="0" w:leader="none"/>
          <w:tab w:val="left" w:pos="2160" w:leader="none"/>
        </w:tabs>
        <w:spacing w:before="80" w:after="80"/>
        <w:ind w:hanging="720" w:start="2880"/>
        <w:rPr/>
      </w:pPr>
      <w:r>
        <w:rPr/>
        <w:t>The deadline for scheduling site visits is 5:00 p.m. EST Friday October 13, 2000.</w:t>
      </w:r>
    </w:p>
    <w:p>
      <w:pPr>
        <w:pStyle w:val="A0b"/>
        <w:numPr>
          <w:ilvl w:val="0"/>
          <w:numId w:val="46"/>
        </w:numPr>
        <w:tabs>
          <w:tab w:val="clear" w:pos="2520"/>
          <w:tab w:val="left" w:pos="0" w:leader="none"/>
          <w:tab w:val="left" w:pos="2160" w:leader="none"/>
        </w:tabs>
        <w:spacing w:before="80" w:after="80"/>
        <w:ind w:hanging="720" w:start="2880"/>
        <w:rPr/>
      </w:pPr>
      <w:r>
        <w:rPr/>
        <w:t>Project site visits are limited to one day per company.</w:t>
      </w:r>
    </w:p>
    <w:p>
      <w:pPr>
        <w:pStyle w:val="A0b"/>
        <w:numPr>
          <w:ilvl w:val="0"/>
          <w:numId w:val="46"/>
        </w:numPr>
        <w:tabs>
          <w:tab w:val="clear" w:pos="2520"/>
          <w:tab w:val="left" w:pos="0" w:leader="none"/>
          <w:tab w:val="left" w:pos="2160" w:leader="none"/>
        </w:tabs>
        <w:spacing w:before="80" w:after="80"/>
        <w:ind w:hanging="720" w:start="2880"/>
        <w:rPr/>
      </w:pPr>
      <w:r>
        <w:rPr/>
        <w:t>Prior to your project site visit, Enron must be provided with a list of your team members, their titles, and their employer (for any outside consultants, etc.) as well as the designated deal team leader.  Please fax or e-mail all lists to the appropriate Site Visit Scheduling Coordinator.</w:t>
      </w:r>
    </w:p>
    <w:p>
      <w:pPr>
        <w:pStyle w:val="A0b"/>
        <w:numPr>
          <w:ilvl w:val="0"/>
          <w:numId w:val="46"/>
        </w:numPr>
        <w:tabs>
          <w:tab w:val="clear" w:pos="2520"/>
          <w:tab w:val="left" w:pos="0" w:leader="none"/>
          <w:tab w:val="left" w:pos="2160" w:leader="none"/>
        </w:tabs>
        <w:spacing w:before="80" w:after="80"/>
        <w:ind w:hanging="720" w:start="2880"/>
        <w:rPr/>
      </w:pPr>
      <w:r>
        <w:rPr/>
        <w:t>Upon scheduling an appointment, you will be provided with the relevant directions to the site as well as the contact information for the plant's Project Site Visit Coordinator.</w:t>
      </w:r>
    </w:p>
    <w:p>
      <w:pPr>
        <w:pStyle w:val="Sub0n"/>
        <w:numPr>
          <w:ilvl w:val="0"/>
          <w:numId w:val="46"/>
        </w:numPr>
        <w:tabs>
          <w:tab w:val="clear" w:pos="720"/>
          <w:tab w:val="left" w:pos="0" w:leader="none"/>
          <w:tab w:val="left" w:pos="1080" w:leader="none"/>
        </w:tabs>
        <w:ind w:hanging="1080" w:start="1800" w:end="0"/>
        <w:rPr/>
      </w:pPr>
      <w:r>
        <w:rPr/>
        <w:t>Project Site Access and Check-In</w:t>
      </w:r>
    </w:p>
    <w:p>
      <w:pPr>
        <w:pStyle w:val="A0b"/>
        <w:numPr>
          <w:ilvl w:val="0"/>
          <w:numId w:val="46"/>
        </w:numPr>
        <w:tabs>
          <w:tab w:val="clear" w:pos="2520"/>
          <w:tab w:val="left" w:pos="0" w:leader="none"/>
          <w:tab w:val="left" w:pos="2160" w:leader="none"/>
        </w:tabs>
        <w:spacing w:before="80" w:after="80"/>
        <w:ind w:hanging="720" w:start="2880"/>
        <w:rPr/>
      </w:pPr>
      <w:r>
        <w:rPr/>
        <w:t xml:space="preserve">No documentation will be available for review during the project site visit.  All review of documentation is to be completed by accessing </w:t>
      </w:r>
      <w:r>
        <w:rPr>
          <w:b/>
          <w:bCs/>
          <w:i/>
          <w:iCs/>
        </w:rPr>
        <w:t>Deal</w:t>
      </w:r>
      <w:r>
        <w:rPr>
          <w:i/>
          <w:iCs/>
        </w:rPr>
        <w:t>Bench</w:t>
      </w:r>
      <w:r>
        <w:rPr/>
        <w:t>™.</w:t>
      </w:r>
    </w:p>
    <w:p>
      <w:pPr>
        <w:pStyle w:val="A0b"/>
        <w:numPr>
          <w:ilvl w:val="0"/>
          <w:numId w:val="46"/>
        </w:numPr>
        <w:tabs>
          <w:tab w:val="clear" w:pos="2520"/>
          <w:tab w:val="left" w:pos="0" w:leader="none"/>
          <w:tab w:val="left" w:pos="2160" w:leader="none"/>
        </w:tabs>
        <w:spacing w:before="80" w:after="80"/>
        <w:ind w:hanging="720" w:start="2880"/>
        <w:rPr/>
      </w:pPr>
      <w:r>
        <w:rPr/>
        <w:t>When your group arrives, please proceed as a group to the front gate where a Project Site Visit Coordinator will greet you.</w:t>
      </w:r>
    </w:p>
    <w:p>
      <w:pPr>
        <w:pStyle w:val="A0b"/>
        <w:numPr>
          <w:ilvl w:val="0"/>
          <w:numId w:val="46"/>
        </w:numPr>
        <w:tabs>
          <w:tab w:val="clear" w:pos="2520"/>
          <w:tab w:val="left" w:pos="0" w:leader="none"/>
          <w:tab w:val="left" w:pos="2160" w:leader="none"/>
        </w:tabs>
        <w:spacing w:before="80" w:after="80"/>
        <w:ind w:hanging="720" w:start="2880"/>
        <w:rPr/>
      </w:pPr>
      <w:r>
        <w:rPr/>
        <w:t>Project site visits will be scheduled from 8:00 a.m. to 5:00 p.m. local time.</w:t>
      </w:r>
    </w:p>
    <w:p>
      <w:pPr>
        <w:pStyle w:val="A0b"/>
        <w:numPr>
          <w:ilvl w:val="0"/>
          <w:numId w:val="46"/>
        </w:numPr>
        <w:tabs>
          <w:tab w:val="clear" w:pos="2520"/>
          <w:tab w:val="left" w:pos="0" w:leader="none"/>
          <w:tab w:val="left" w:pos="2160" w:leader="none"/>
        </w:tabs>
        <w:spacing w:before="80" w:after="80"/>
        <w:ind w:hanging="720" w:start="2880"/>
        <w:rPr/>
      </w:pPr>
      <w:r>
        <w:rPr/>
        <w:t>During check-in, all members of your team will be required to sign in.  In addition, a deal team leader must be designated who will represent your company on all questions and requests submitted during your visit.  Please deliver to Don Miller (at the above indicated contact information) in advance of your site visit, any specific document requests that you may have.</w:t>
      </w:r>
    </w:p>
    <w:p>
      <w:pPr>
        <w:pStyle w:val="A0b"/>
        <w:numPr>
          <w:ilvl w:val="0"/>
          <w:numId w:val="46"/>
        </w:numPr>
        <w:tabs>
          <w:tab w:val="clear" w:pos="2520"/>
          <w:tab w:val="left" w:pos="0" w:leader="none"/>
          <w:tab w:val="left" w:pos="2160" w:leader="none"/>
        </w:tabs>
        <w:spacing w:before="80" w:after="80"/>
        <w:ind w:hanging="720" w:start="2880"/>
        <w:rPr/>
      </w:pPr>
      <w:r>
        <w:rPr/>
        <w:t>Any members of your team who are not employees of your company (</w:t>
      </w:r>
      <w:r>
        <w:rPr>
          <w:i/>
          <w:iCs/>
        </w:rPr>
        <w:t>i.e.</w:t>
      </w:r>
      <w:r>
        <w:rPr/>
        <w:t>, outside consultants, engineers, etc.) must agree that they will comply with the terms of the Confidentiality Agreement executed by you.</w:t>
      </w:r>
    </w:p>
    <w:p>
      <w:pPr>
        <w:pStyle w:val="A0b"/>
        <w:numPr>
          <w:ilvl w:val="0"/>
          <w:numId w:val="46"/>
        </w:numPr>
        <w:tabs>
          <w:tab w:val="clear" w:pos="2520"/>
          <w:tab w:val="left" w:pos="0" w:leader="none"/>
          <w:tab w:val="left" w:pos="2160" w:leader="none"/>
        </w:tabs>
        <w:spacing w:before="80" w:after="80"/>
        <w:ind w:hanging="720" w:start="2880"/>
        <w:rPr/>
      </w:pPr>
      <w:r>
        <w:rPr/>
        <w:t xml:space="preserve">After check-in, the plant's Project Site Visit Coordinator and other Enron staff members will accompany your team on the site visit. </w:t>
      </w:r>
    </w:p>
    <w:p>
      <w:pPr>
        <w:pStyle w:val="Normal"/>
        <w:numPr>
          <w:ilvl w:val="0"/>
          <w:numId w:val="0"/>
        </w:numPr>
        <w:ind w:hanging="0" w:start="0"/>
        <w:rPr/>
      </w:pPr>
      <w:r>
        <w:rPr/>
      </w:r>
    </w:p>
    <w:p>
      <w:pPr>
        <w:pStyle w:val="Sub0n"/>
        <w:numPr>
          <w:ilvl w:val="0"/>
          <w:numId w:val="46"/>
        </w:numPr>
        <w:tabs>
          <w:tab w:val="clear" w:pos="720"/>
          <w:tab w:val="left" w:pos="0" w:leader="none"/>
          <w:tab w:val="left" w:pos="1080" w:leader="none"/>
        </w:tabs>
        <w:ind w:hanging="1080" w:start="1800" w:end="0"/>
        <w:rPr/>
      </w:pPr>
      <w:r>
        <w:rPr/>
        <w:t>Presentations</w:t>
      </w:r>
    </w:p>
    <w:p>
      <w:pPr>
        <w:pStyle w:val="A0b"/>
        <w:numPr>
          <w:ilvl w:val="0"/>
          <w:numId w:val="46"/>
        </w:numPr>
        <w:tabs>
          <w:tab w:val="clear" w:pos="2520"/>
          <w:tab w:val="left" w:pos="0" w:leader="none"/>
          <w:tab w:val="left" w:pos="2160" w:leader="none"/>
        </w:tabs>
        <w:ind w:hanging="720" w:start="2880"/>
        <w:rPr/>
      </w:pPr>
      <w:r>
        <w:rPr/>
        <w:t>On the day of your visit, your company may be provided with a site overview presentation by the staff at the site.</w:t>
      </w:r>
    </w:p>
    <w:p>
      <w:pPr>
        <w:pStyle w:val="Sub0n"/>
        <w:numPr>
          <w:ilvl w:val="0"/>
          <w:numId w:val="46"/>
        </w:numPr>
        <w:tabs>
          <w:tab w:val="clear" w:pos="720"/>
          <w:tab w:val="left" w:pos="0" w:leader="none"/>
          <w:tab w:val="left" w:pos="1080" w:leader="none"/>
        </w:tabs>
        <w:ind w:hanging="1080" w:start="1800" w:end="0"/>
        <w:rPr/>
      </w:pPr>
      <w:r>
        <w:rPr/>
        <w:t>Confidentiality</w:t>
      </w:r>
    </w:p>
    <w:p>
      <w:pPr>
        <w:pStyle w:val="A0b"/>
        <w:numPr>
          <w:ilvl w:val="0"/>
          <w:numId w:val="46"/>
        </w:numPr>
        <w:tabs>
          <w:tab w:val="clear" w:pos="2520"/>
          <w:tab w:val="left" w:pos="0" w:leader="none"/>
          <w:tab w:val="left" w:pos="2160" w:leader="none"/>
        </w:tabs>
        <w:ind w:hanging="720" w:start="2880"/>
        <w:rPr>
          <w:sz w:val="24"/>
          <w:szCs w:val="24"/>
        </w:rPr>
      </w:pPr>
      <w:r>
        <w:rPr/>
        <w:t>You are reminded that any information obtained during the project site visit is to be used by you, your company and any of your team members solely for the purpose of evaluating a possible transaction between your company and Enron with respect to the proposed sale of the subject generating assets and may not be used for any other purpose.  Moreover, you are subject to the terms and conditions contained within the previously signed Confidentiality Agreement.</w:t>
      </w:r>
    </w:p>
    <w:p>
      <w:pPr>
        <w:pStyle w:val="Normal"/>
        <w:rPr/>
      </w:pPr>
      <w:r>
        <w:rPr/>
      </w:r>
    </w:p>
    <w:sectPr>
      <w:headerReference w:type="default" r:id="rId18"/>
      <w:headerReference w:type="first" r:id="rId19"/>
      <w:type w:val="nextPage"/>
      <w:pgSz w:w="12240" w:h="15840"/>
      <w:pgMar w:left="1440" w:right="1440" w:gutter="0" w:header="720" w:top="1960" w:footer="0" w:bottom="12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0" distR="0" simplePos="0" locked="0" layoutInCell="1" allowOverlap="1" relativeHeight="30">
              <wp:simplePos x="0" y="0"/>
              <wp:positionH relativeFrom="column">
                <wp:posOffset>5486400</wp:posOffset>
              </wp:positionH>
              <wp:positionV relativeFrom="paragraph">
                <wp:posOffset>4381500</wp:posOffset>
              </wp:positionV>
              <wp:extent cx="952500" cy="132080"/>
              <wp:effectExtent l="0" t="0" r="0" b="0"/>
              <wp:wrapNone/>
              <wp:docPr id="2"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32pt;margin-top:345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0" distR="0" simplePos="0" locked="0" layoutInCell="1" allowOverlap="1" relativeHeight="34">
              <wp:simplePos x="0" y="0"/>
              <wp:positionH relativeFrom="column">
                <wp:posOffset>1828800</wp:posOffset>
              </wp:positionH>
              <wp:positionV relativeFrom="paragraph">
                <wp:posOffset>476250</wp:posOffset>
              </wp:positionV>
              <wp:extent cx="4572000" cy="406400"/>
              <wp:effectExtent l="0" t="0" r="0" b="0"/>
              <wp:wrapNone/>
              <wp:docPr id="3" name=""/>
              <a:graphic xmlns:a="http://schemas.openxmlformats.org/drawingml/2006/main">
                <a:graphicData uri="http://schemas.microsoft.com/office/word/2010/wordprocessingShape">
                  <wps:wsp>
                    <wps:cNvSpPr txBox="1"/>
                    <wps:spPr>
                      <a:xfrm>
                        <a:off x="0" y="0"/>
                        <a:ext cx="4572000" cy="406440"/>
                      </a:xfrm>
                      <a:prstGeom prst="rect">
                        <a:avLst/>
                      </a:prstGeom>
                      <a:noFill/>
                      <a:ln w="0">
                        <a:noFill/>
                      </a:ln>
                    </wps:spPr>
                    <wps:txbx>
                      <w:txbxContent>
                        <w:p>
                          <w:pPr>
                            <w:overflowPunct w:val="false"/>
                            <w:bidi w:val="0"/>
                            <w:rPr/>
                          </w:pPr>
                          <w:r>
                            <w:rPr>
                              <w:kern w:val="2"/>
                              <w:sz w:val="28"/>
                              <w:b/>
                              <w:szCs w:val="28"/>
                              <w:bCs/>
                              <w:rFonts w:ascii="Arial" w:hAnsi="Arial" w:eastAsia="Arial" w:cs="Arial"/>
                              <w:color w:val="auto"/>
                              <w:lang w:val="en-US"/>
                            </w:rPr>
                            <w:t>Enron North America Corp.</w:t>
                          </w:r>
                        </w:p>
                      </w:txbxContent>
                    </wps:txbx>
                    <wps:bodyPr wrap="square" lIns="35640" rIns="35640" tIns="17640" bIns="17640" anchor="t">
                      <a:noAutofit/>
                    </wps:bodyPr>
                  </wps:wsp>
                </a:graphicData>
              </a:graphic>
            </wp:anchor>
          </w:drawing>
        </mc:Choice>
        <mc:Fallback>
          <w:pict>
            <v:shape id="shape_0" stroked="f" o:allowincell="f" style="position:absolute;margin-left:144pt;margin-top:37.5pt;width:359.95pt;height:31.95pt;mso-wrap-style:square;v-text-anchor:top" type="_x0000_t202">
              <v:textbox>
                <w:txbxContent>
                  <w:p>
                    <w:pPr>
                      <w:overflowPunct w:val="false"/>
                      <w:bidi w:val="0"/>
                      <w:rPr/>
                    </w:pPr>
                    <w:r>
                      <w:rPr>
                        <w:kern w:val="2"/>
                        <w:sz w:val="28"/>
                        <w:b/>
                        <w:szCs w:val="28"/>
                        <w:bCs/>
                        <w:rFonts w:ascii="Arial" w:hAnsi="Arial" w:eastAsia="Arial" w:cs="Arial"/>
                        <w:color w:val="auto"/>
                        <w:lang w:val="en-US"/>
                      </w:rPr>
                      <w:t>Enron North America Corp.</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35">
              <wp:simplePos x="0" y="0"/>
              <wp:positionH relativeFrom="column">
                <wp:posOffset>5740400</wp:posOffset>
              </wp:positionH>
              <wp:positionV relativeFrom="paragraph">
                <wp:posOffset>355600</wp:posOffset>
              </wp:positionV>
              <wp:extent cx="952500" cy="132080"/>
              <wp:effectExtent l="0" t="0" r="0" b="0"/>
              <wp:wrapNone/>
              <wp:docPr id="4"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 id="shape_0" stroked="f" o:allowincell="f" style="position:absolute;margin-left:452pt;margin-top:28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w:r>
  </w:p>
  <w:p>
    <w:pPr>
      <w:pStyle w:val="Header"/>
      <w:rPr>
        <w:lang w:val="en-CA"/>
      </w:rPr>
    </w:pPr>
    <w:r>
      <w:rPr>
        <w:lang w:val="en-CA"/>
      </w:rPr>
      <w:drawing>
        <wp:anchor behindDoc="0" distT="0" distB="0" distL="114300" distR="114300" simplePos="0" locked="0" layoutInCell="0" allowOverlap="1" relativeHeight="8">
          <wp:simplePos x="0" y="0"/>
          <wp:positionH relativeFrom="page">
            <wp:posOffset>1117600</wp:posOffset>
          </wp:positionH>
          <wp:positionV relativeFrom="page">
            <wp:posOffset>9287510</wp:posOffset>
          </wp:positionV>
          <wp:extent cx="1781175" cy="516890"/>
          <wp:effectExtent l="0" t="0" r="0" b="0"/>
          <wp:wrapSquare wrapText="bothSides"/>
          <wp:docPr id="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0" distT="0" distB="0" distL="0" distR="0" simplePos="0" locked="0" layoutInCell="1" allowOverlap="1" relativeHeight="31">
              <wp:simplePos x="0" y="0"/>
              <wp:positionH relativeFrom="column">
                <wp:posOffset>1828800</wp:posOffset>
              </wp:positionH>
              <wp:positionV relativeFrom="paragraph">
                <wp:posOffset>419100</wp:posOffset>
              </wp:positionV>
              <wp:extent cx="1917700" cy="0"/>
              <wp:effectExtent l="31750" t="31750" r="31750" b="31750"/>
              <wp:wrapNone/>
              <wp:docPr id="6"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2">
              <wp:simplePos x="0" y="0"/>
              <wp:positionH relativeFrom="column">
                <wp:posOffset>876300</wp:posOffset>
              </wp:positionH>
              <wp:positionV relativeFrom="paragraph">
                <wp:posOffset>355600</wp:posOffset>
              </wp:positionV>
              <wp:extent cx="0" cy="8896350"/>
              <wp:effectExtent l="1905" t="1905" r="1905" b="1905"/>
              <wp:wrapNone/>
              <wp:docPr id="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33">
              <wp:simplePos x="0" y="0"/>
              <wp:positionH relativeFrom="column">
                <wp:posOffset>7353300</wp:posOffset>
              </wp:positionH>
              <wp:positionV relativeFrom="paragraph">
                <wp:posOffset>355600</wp:posOffset>
              </wp:positionV>
              <wp:extent cx="0" cy="8896350"/>
              <wp:effectExtent l="1905" t="1905" r="1905" b="1905"/>
              <wp:wrapNone/>
              <wp:docPr id="8"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round"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0" distT="0" distB="0" distL="0" distR="0" simplePos="0" locked="0" layoutInCell="1" allowOverlap="1" relativeHeight="47">
              <wp:simplePos x="0" y="0"/>
              <wp:positionH relativeFrom="column">
                <wp:posOffset>1828800</wp:posOffset>
              </wp:positionH>
              <wp:positionV relativeFrom="paragraph">
                <wp:posOffset>476250</wp:posOffset>
              </wp:positionV>
              <wp:extent cx="4572000" cy="406400"/>
              <wp:effectExtent l="0" t="0" r="0" b="0"/>
              <wp:wrapNone/>
              <wp:docPr id="9" name=""/>
              <a:graphic xmlns:a="http://schemas.openxmlformats.org/drawingml/2006/main">
                <a:graphicData uri="http://schemas.microsoft.com/office/word/2010/wordprocessingShape">
                  <wps:wsp>
                    <wps:cNvSpPr txBox="1"/>
                    <wps:spPr>
                      <a:xfrm>
                        <a:off x="0" y="0"/>
                        <a:ext cx="4572000" cy="406440"/>
                      </a:xfrm>
                      <a:prstGeom prst="rect">
                        <a:avLst/>
                      </a:prstGeom>
                      <a:noFill/>
                      <a:ln w="0">
                        <a:noFill/>
                      </a:ln>
                    </wps:spPr>
                    <wps:txbx>
                      <w:txbxContent>
                        <w:p>
                          <w:pPr>
                            <w:overflowPunct w:val="false"/>
                            <w:bidi w:val="0"/>
                            <w:rPr/>
                          </w:pPr>
                          <w:r>
                            <w:rPr>
                              <w:kern w:val="2"/>
                              <w:sz w:val="28"/>
                              <w:b/>
                              <w:szCs w:val="28"/>
                              <w:bCs/>
                              <w:rFonts w:ascii="Arial" w:hAnsi="Arial" w:eastAsia="Arial" w:cs="Arial"/>
                              <w:color w:val="auto"/>
                              <w:lang w:val="en-US"/>
                            </w:rPr>
                            <w:t>Enron North America Corp.</w:t>
                          </w:r>
                        </w:p>
                      </w:txbxContent>
                    </wps:txbx>
                    <wps:bodyPr wrap="square" lIns="35640" rIns="35640" tIns="17640" bIns="17640" anchor="t">
                      <a:noAutofit/>
                    </wps:bodyPr>
                  </wps:wsp>
                </a:graphicData>
              </a:graphic>
            </wp:anchor>
          </w:drawing>
        </mc:Choice>
        <mc:Fallback>
          <w:pict>
            <v:shape id="shape_0" stroked="f" o:allowincell="f" style="position:absolute;margin-left:144pt;margin-top:37.5pt;width:359.95pt;height:31.95pt;mso-wrap-style:square;v-text-anchor:top" type="_x0000_t202">
              <v:textbox>
                <w:txbxContent>
                  <w:p>
                    <w:pPr>
                      <w:overflowPunct w:val="false"/>
                      <w:bidi w:val="0"/>
                      <w:rPr/>
                    </w:pPr>
                    <w:r>
                      <w:rPr>
                        <w:kern w:val="2"/>
                        <w:sz w:val="28"/>
                        <w:b/>
                        <w:szCs w:val="28"/>
                        <w:bCs/>
                        <w:rFonts w:ascii="Arial" w:hAnsi="Arial" w:eastAsia="Arial" w:cs="Arial"/>
                        <w:color w:val="auto"/>
                        <w:lang w:val="en-US"/>
                      </w:rPr>
                      <w:t>Enron North America Corp.</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50">
              <wp:simplePos x="0" y="0"/>
              <wp:positionH relativeFrom="column">
                <wp:posOffset>5740400</wp:posOffset>
              </wp:positionH>
              <wp:positionV relativeFrom="paragraph">
                <wp:posOffset>355600</wp:posOffset>
              </wp:positionV>
              <wp:extent cx="952500" cy="132080"/>
              <wp:effectExtent l="0" t="0" r="0" b="0"/>
              <wp:wrapNone/>
              <wp:docPr id="10"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 id="shape_0" stroked="f" o:allowincell="f" style="position:absolute;margin-left:452pt;margin-top:28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w:r>
  </w:p>
  <w:p>
    <w:pPr>
      <w:pStyle w:val="Header"/>
      <w:rPr>
        <w:lang w:val="en-CA"/>
      </w:rPr>
    </w:pPr>
    <w:r>
      <w:rPr>
        <w:lang w:val="en-CA"/>
      </w:rPr>
      <w:drawing>
        <wp:anchor behindDoc="0" distT="0" distB="0" distL="114300" distR="114300" simplePos="0" locked="0" layoutInCell="0" allowOverlap="1" relativeHeight="11">
          <wp:simplePos x="0" y="0"/>
          <wp:positionH relativeFrom="page">
            <wp:posOffset>1117600</wp:posOffset>
          </wp:positionH>
          <wp:positionV relativeFrom="page">
            <wp:posOffset>9287510</wp:posOffset>
          </wp:positionV>
          <wp:extent cx="1781175" cy="516890"/>
          <wp:effectExtent l="0" t="0" r="0" b="0"/>
          <wp:wrapSquare wrapText="bothSides"/>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0" distT="0" distB="0" distL="0" distR="0" simplePos="0" locked="0" layoutInCell="1" allowOverlap="1" relativeHeight="38">
              <wp:simplePos x="0" y="0"/>
              <wp:positionH relativeFrom="column">
                <wp:posOffset>1828800</wp:posOffset>
              </wp:positionH>
              <wp:positionV relativeFrom="paragraph">
                <wp:posOffset>419100</wp:posOffset>
              </wp:positionV>
              <wp:extent cx="1917700" cy="0"/>
              <wp:effectExtent l="31750" t="31750" r="31750" b="31750"/>
              <wp:wrapNone/>
              <wp:docPr id="12"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1">
              <wp:simplePos x="0" y="0"/>
              <wp:positionH relativeFrom="column">
                <wp:posOffset>876300</wp:posOffset>
              </wp:positionH>
              <wp:positionV relativeFrom="paragraph">
                <wp:posOffset>355600</wp:posOffset>
              </wp:positionV>
              <wp:extent cx="0" cy="8896350"/>
              <wp:effectExtent l="1905" t="1905" r="1905" b="1905"/>
              <wp:wrapNone/>
              <wp:docPr id="13"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44">
              <wp:simplePos x="0" y="0"/>
              <wp:positionH relativeFrom="column">
                <wp:posOffset>7353300</wp:posOffset>
              </wp:positionH>
              <wp:positionV relativeFrom="paragraph">
                <wp:posOffset>355600</wp:posOffset>
              </wp:positionV>
              <wp:extent cx="0" cy="8896350"/>
              <wp:effectExtent l="1905" t="1905" r="1905" b="1905"/>
              <wp:wrapNone/>
              <wp:docPr id="14"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round" endcap="flat"/>
              <v:fill o:detectmouseclick="t" on="false"/>
              <w10:wrap type="none"/>
            </v:line>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0" distT="0" distB="0" distL="0" distR="0" simplePos="0" locked="0" layoutInCell="1" allowOverlap="1" relativeHeight="86">
              <wp:simplePos x="0" y="0"/>
              <wp:positionH relativeFrom="column">
                <wp:posOffset>1828800</wp:posOffset>
              </wp:positionH>
              <wp:positionV relativeFrom="paragraph">
                <wp:posOffset>476250</wp:posOffset>
              </wp:positionV>
              <wp:extent cx="4572000" cy="406400"/>
              <wp:effectExtent l="0" t="0" r="0" b="0"/>
              <wp:wrapNone/>
              <wp:docPr id="20" name=""/>
              <a:graphic xmlns:a="http://schemas.openxmlformats.org/drawingml/2006/main">
                <a:graphicData uri="http://schemas.microsoft.com/office/word/2010/wordprocessingShape">
                  <wps:wsp>
                    <wps:cNvSpPr txBox="1"/>
                    <wps:spPr>
                      <a:xfrm>
                        <a:off x="0" y="0"/>
                        <a:ext cx="4572000" cy="406440"/>
                      </a:xfrm>
                      <a:prstGeom prst="rect">
                        <a:avLst/>
                      </a:prstGeom>
                      <a:noFill/>
                      <a:ln w="0">
                        <a:noFill/>
                      </a:ln>
                    </wps:spPr>
                    <wps:txbx>
                      <w:txbxContent>
                        <w:p>
                          <w:pPr>
                            <w:overflowPunct w:val="false"/>
                            <w:bidi w:val="0"/>
                            <w:rPr/>
                          </w:pPr>
                          <w:r>
                            <w:rPr>
                              <w:kern w:val="2"/>
                              <w:sz w:val="28"/>
                              <w:b/>
                              <w:szCs w:val="28"/>
                              <w:bCs/>
                              <w:rFonts w:ascii="Arial" w:hAnsi="Arial" w:eastAsia="Arial" w:cs="Arial"/>
                              <w:color w:val="auto"/>
                              <w:lang w:val="en-US"/>
                            </w:rPr>
                            <w:t>Enron North America Corp.</w:t>
                          </w:r>
                        </w:p>
                      </w:txbxContent>
                    </wps:txbx>
                    <wps:bodyPr wrap="square" lIns="35640" rIns="35640" tIns="17640" bIns="17640" anchor="t">
                      <a:noAutofit/>
                    </wps:bodyPr>
                  </wps:wsp>
                </a:graphicData>
              </a:graphic>
            </wp:anchor>
          </w:drawing>
        </mc:Choice>
        <mc:Fallback>
          <w:pict>
            <v:shape id="shape_0" stroked="f" o:allowincell="f" style="position:absolute;margin-left:144pt;margin-top:37.5pt;width:359.95pt;height:31.95pt;mso-wrap-style:square;v-text-anchor:top" type="_x0000_t202">
              <v:textbox>
                <w:txbxContent>
                  <w:p>
                    <w:pPr>
                      <w:overflowPunct w:val="false"/>
                      <w:bidi w:val="0"/>
                      <w:rPr/>
                    </w:pPr>
                    <w:r>
                      <w:rPr>
                        <w:kern w:val="2"/>
                        <w:sz w:val="28"/>
                        <w:b/>
                        <w:szCs w:val="28"/>
                        <w:bCs/>
                        <w:rFonts w:ascii="Arial" w:hAnsi="Arial" w:eastAsia="Arial" w:cs="Arial"/>
                        <w:color w:val="auto"/>
                        <w:lang w:val="en-US"/>
                      </w:rPr>
                      <w:t>Enron North America Corp.</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95">
              <wp:simplePos x="0" y="0"/>
              <wp:positionH relativeFrom="column">
                <wp:posOffset>5740400</wp:posOffset>
              </wp:positionH>
              <wp:positionV relativeFrom="paragraph">
                <wp:posOffset>355600</wp:posOffset>
              </wp:positionV>
              <wp:extent cx="952500" cy="132080"/>
              <wp:effectExtent l="0" t="0" r="0" b="0"/>
              <wp:wrapNone/>
              <wp:docPr id="21" name=""/>
              <a:graphic xmlns:a="http://schemas.openxmlformats.org/drawingml/2006/main">
                <a:graphicData uri="http://schemas.microsoft.com/office/word/2010/wordprocessingShape">
                  <wps:wsp>
                    <wps:cNvSpPr txBox="1"/>
                    <wps:spPr>
                      <a:xfrm>
                        <a:off x="0" y="0"/>
                        <a:ext cx="952560" cy="132120"/>
                      </a:xfrm>
                      <a:prstGeom prst="rect">
                        <a:avLst/>
                      </a:prstGeom>
                      <a:noFill/>
                      <a:ln w="0">
                        <a:noFill/>
                      </a:ln>
                    </wps:spPr>
                    <wps:txbx>
                      <w:txbxContent>
                        <w:p>
                          <w:pPr>
                            <w:overflowPunct w:val="false"/>
                            <w:bidi w:val="0"/>
                            <w:rPr/>
                          </w:pPr>
                          <w:r>
                            <w:rPr>
                              <w:kern w:val="2"/>
                              <w:sz w:val="18"/>
                              <w:b/>
                              <w:szCs w:val="18"/>
                              <w:bCs/>
                              <w:rFonts w:ascii="Arial" w:hAnsi="Arial" w:eastAsia="Arial" w:cs="Arial"/>
                              <w:color w:val="auto"/>
                              <w:lang w:val="en-US"/>
                            </w:rPr>
                            <w:t>CONFIDENTIAL</w:t>
                          </w:r>
                        </w:p>
                      </w:txbxContent>
                    </wps:txbx>
                    <wps:bodyPr wrap="square" lIns="35640" rIns="35640" tIns="17640" bIns="17640" anchor="t">
                      <a:noAutofit/>
                    </wps:bodyPr>
                  </wps:wsp>
                </a:graphicData>
              </a:graphic>
            </wp:anchor>
          </w:drawing>
        </mc:Choice>
        <mc:Fallback>
          <w:pict>
            <v:shape id="shape_0" stroked="f" o:allowincell="f" style="position:absolute;margin-left:452pt;margin-top:28pt;width:74.95pt;height:10.35pt;mso-wrap-style:square;v-text-anchor:top" type="_x0000_t202">
              <v:textbox>
                <w:txbxContent>
                  <w:p>
                    <w:pPr>
                      <w:overflowPunct w:val="false"/>
                      <w:bidi w:val="0"/>
                      <w:rPr/>
                    </w:pPr>
                    <w:r>
                      <w:rPr>
                        <w:kern w:val="2"/>
                        <w:sz w:val="18"/>
                        <w:b/>
                        <w:szCs w:val="18"/>
                        <w:bCs/>
                        <w:rFonts w:ascii="Arial" w:hAnsi="Arial" w:eastAsia="Arial" w:cs="Arial"/>
                        <w:color w:val="auto"/>
                        <w:lang w:val="en-US"/>
                      </w:rPr>
                      <w:t>CONFIDENTIAL</w:t>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04">
              <wp:simplePos x="0" y="0"/>
              <wp:positionH relativeFrom="column">
                <wp:posOffset>3429000</wp:posOffset>
              </wp:positionH>
              <wp:positionV relativeFrom="paragraph">
                <wp:posOffset>9461500</wp:posOffset>
              </wp:positionV>
              <wp:extent cx="3810000" cy="228600"/>
              <wp:effectExtent l="0" t="0" r="0" b="0"/>
              <wp:wrapNone/>
              <wp:docPr id="22" name=""/>
              <a:graphic xmlns:a="http://schemas.openxmlformats.org/drawingml/2006/main">
                <a:graphicData uri="http://schemas.microsoft.com/office/word/2010/wordprocessingShape">
                  <wps:wsp>
                    <wps:cNvSpPr txBox="1"/>
                    <wps:spPr>
                      <a:xfrm>
                        <a:off x="0" y="0"/>
                        <a:ext cx="3809880" cy="228600"/>
                      </a:xfrm>
                      <a:prstGeom prst="rect">
                        <a:avLst/>
                      </a:prstGeom>
                      <a:noFill/>
                      <a:ln w="0">
                        <a:noFill/>
                      </a:ln>
                    </wps:spPr>
                    <wps:txbx>
                      <w:txbxContent>
                        <w:p>
                          <w:pPr>
                            <w:overflowPunct w:val="false"/>
                            <w:bidi w:val="0"/>
                            <w:jc w:val="end"/>
                            <w:rPr/>
                          </w:pPr>
                          <w:r>
                            <w:rPr>
                              <w:kern w:val="2"/>
                              <w:sz w:val="16"/>
                              <w:i/>
                              <w:szCs w:val="16"/>
                              <w:iCs/>
                              <w:rFonts w:ascii="Arial" w:hAnsi="Arial" w:eastAsia="Arial" w:cs="Arial"/>
                              <w:color w:val="auto"/>
                              <w:lang w:val="en-US"/>
                            </w:rPr>
                            <w:t>10/5/2000  K:\Enron Peakers\Data Room.doc</w:t>
                          </w:r>
                        </w:p>
                      </w:txbxContent>
                    </wps:txbx>
                    <wps:bodyPr wrap="square" lIns="35640" rIns="35640" tIns="17640" bIns="17640" anchor="t">
                      <a:noAutofit/>
                    </wps:bodyPr>
                  </wps:wsp>
                </a:graphicData>
              </a:graphic>
            </wp:anchor>
          </w:drawing>
        </mc:Choice>
        <mc:Fallback>
          <w:pict>
            <v:shape id="shape_0" stroked="f" o:allowincell="f" style="position:absolute;margin-left:270pt;margin-top:745pt;width:299.95pt;height:17.95pt;mso-wrap-style:square;v-text-anchor:top" type="_x0000_t202">
              <v:textbox>
                <w:txbxContent>
                  <w:p>
                    <w:pPr>
                      <w:overflowPunct w:val="false"/>
                      <w:bidi w:val="0"/>
                      <w:jc w:val="end"/>
                      <w:rPr/>
                    </w:pPr>
                    <w:r>
                      <w:rPr>
                        <w:kern w:val="2"/>
                        <w:sz w:val="16"/>
                        <w:i/>
                        <w:szCs w:val="16"/>
                        <w:iCs/>
                        <w:rFonts w:ascii="Arial" w:hAnsi="Arial" w:eastAsia="Arial" w:cs="Arial"/>
                        <w:color w:val="auto"/>
                        <w:lang w:val="en-US"/>
                      </w:rPr>
                      <w:t>10/5/2000  K:\Enron Peakers\Data Room.doc</w:t>
                    </w:r>
                  </w:p>
                </w:txbxContent>
              </v:textbox>
              <v:fill o:detectmouseclick="t" on="false"/>
              <v:stroke color="#3465a4" joinstyle="round" endcap="flat"/>
              <w10:wrap type="none"/>
            </v:shape>
          </w:pict>
        </mc:Fallback>
      </mc:AlternateContent>
    </w:r>
    <w:r>
      <mc:AlternateContent>
        <mc:Choice Requires="wps">
          <w:drawing>
            <wp:anchor behindDoc="0" distT="0" distB="0" distL="0" distR="0" simplePos="0" locked="0" layoutInCell="0" allowOverlap="1" relativeHeight="20">
              <wp:simplePos x="0" y="0"/>
              <wp:positionH relativeFrom="page">
                <wp:posOffset>6934835</wp:posOffset>
              </wp:positionH>
              <wp:positionV relativeFrom="page">
                <wp:posOffset>356235</wp:posOffset>
              </wp:positionV>
              <wp:extent cx="304800" cy="131445"/>
              <wp:effectExtent l="0" t="0" r="0" b="0"/>
              <wp:wrapTopAndBottom/>
              <wp:docPr id="23" name="Frame1"/>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topAndBottom"/>
            </v:rect>
          </w:pict>
        </mc:Fallback>
      </mc:AlternateContent>
    </w:r>
  </w:p>
  <w:p>
    <w:pPr>
      <w:pStyle w:val="Header"/>
      <w:ind w:end="360"/>
      <w:rPr>
        <w:lang w:val="en-CA"/>
      </w:rPr>
    </w:pPr>
    <w:r>
      <w:rPr>
        <w:lang w:val="en-CA"/>
      </w:rPr>
      <w:drawing>
        <wp:anchor behindDoc="0" distT="0" distB="0" distL="114300" distR="114300" simplePos="0" locked="0" layoutInCell="0" allowOverlap="1" relativeHeight="29">
          <wp:simplePos x="0" y="0"/>
          <wp:positionH relativeFrom="page">
            <wp:posOffset>1117600</wp:posOffset>
          </wp:positionH>
          <wp:positionV relativeFrom="page">
            <wp:posOffset>9287510</wp:posOffset>
          </wp:positionV>
          <wp:extent cx="1781175" cy="516890"/>
          <wp:effectExtent l="0" t="0" r="0" b="0"/>
          <wp:wrapSquare wrapText="bothSides"/>
          <wp:docPr id="2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0" distT="0" distB="0" distL="0" distR="0" simplePos="0" locked="0" layoutInCell="1" allowOverlap="1" relativeHeight="59">
              <wp:simplePos x="0" y="0"/>
              <wp:positionH relativeFrom="column">
                <wp:posOffset>1828800</wp:posOffset>
              </wp:positionH>
              <wp:positionV relativeFrom="paragraph">
                <wp:posOffset>419100</wp:posOffset>
              </wp:positionV>
              <wp:extent cx="1917700" cy="0"/>
              <wp:effectExtent l="31750" t="31750" r="31750" b="31750"/>
              <wp:wrapNone/>
              <wp:docPr id="25"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round/>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8">
              <wp:simplePos x="0" y="0"/>
              <wp:positionH relativeFrom="column">
                <wp:posOffset>876300</wp:posOffset>
              </wp:positionH>
              <wp:positionV relativeFrom="paragraph">
                <wp:posOffset>355600</wp:posOffset>
              </wp:positionV>
              <wp:extent cx="0" cy="8896350"/>
              <wp:effectExtent l="1905" t="1905" r="1905" b="1905"/>
              <wp:wrapNone/>
              <wp:docPr id="2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77">
              <wp:simplePos x="0" y="0"/>
              <wp:positionH relativeFrom="column">
                <wp:posOffset>7353300</wp:posOffset>
              </wp:positionH>
              <wp:positionV relativeFrom="paragraph">
                <wp:posOffset>355600</wp:posOffset>
              </wp:positionV>
              <wp:extent cx="0" cy="8896350"/>
              <wp:effectExtent l="1905" t="1905" r="1905" b="1905"/>
              <wp:wrapNone/>
              <wp:docPr id="2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round/>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round" endcap="flat"/>
              <v:fill o:detectmouseclick="t" on="false"/>
              <w10:wrap type="none"/>
            </v:line>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decimal"/>
      <w:lvlText w:val="%1"/>
      <w:lvlJc w:val="start"/>
      <w:pPr>
        <w:tabs>
          <w:tab w:val="num" w:pos="360"/>
        </w:tabs>
        <w:ind w:start="360" w:hanging="360"/>
      </w:pPr>
    </w:lvl>
    <w:lvl w:ilvl="1">
      <w:start w:val="1"/>
      <w:numFmt w:val="decimal"/>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character" w:styleId="DefaultParagraphFont">
    <w:name w:val="Default Paragraph Font"/>
    <w:qFormat/>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PageNumber">
    <w:name w:val="page number"/>
    <w:basedOn w:val="DefaultParagraphFont"/>
    <w:rPr>
      <w:rFonts w:ascii="Arial" w:hAnsi="Arial" w:eastAsia="Arial" w:cs="Arial"/>
      <w:b/>
      <w:bCs/>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19"/>
      </w:numPr>
      <w:tabs>
        <w:tab w:val="clear" w:pos="720"/>
        <w:tab w:val="left" w:pos="360" w:leader="none"/>
      </w:tabs>
      <w:spacing w:before="40" w:after="0"/>
      <w:ind w:hanging="360" w:start="360" w:end="0"/>
    </w:pPr>
    <w:rPr>
      <w:sz w:val="16"/>
      <w:szCs w:val="16"/>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style>
  <w:style w:type="paragraph" w:styleId="A0b">
    <w:name w:val="A:0:b"/>
    <w:basedOn w:val="Normal"/>
    <w:qFormat/>
    <w:pPr>
      <w:tabs>
        <w:tab w:val="clear" w:pos="720"/>
        <w:tab w:val="left" w:pos="2520" w:leader="none"/>
      </w:tabs>
      <w:spacing w:before="100" w:after="100"/>
      <w:ind w:hanging="360" w:start="2520" w:end="0"/>
    </w:pPr>
    <w:rPr/>
  </w:style>
  <w:style w:type="paragraph" w:styleId="A0bbox">
    <w:name w:val="A:0:bbox"/>
    <w:basedOn w:val="Normal"/>
    <w:qFormat/>
    <w:pPr>
      <w:numPr>
        <w:ilvl w:val="0"/>
        <w:numId w:val="2"/>
      </w:numPr>
      <w:spacing w:before="100" w:after="100"/>
      <w:ind w:hanging="360" w:start="2160" w:end="0"/>
    </w:pPr>
    <w:rPr/>
  </w:style>
  <w:style w:type="paragraph" w:styleId="A0n">
    <w:name w:val="A:0:n"/>
    <w:basedOn w:val="Normal"/>
    <w:qFormat/>
    <w:pPr>
      <w:numPr>
        <w:ilvl w:val="0"/>
        <w:numId w:val="3"/>
      </w:numPr>
      <w:spacing w:before="100" w:after="100"/>
      <w:ind w:hanging="720" w:start="2160" w:end="0"/>
    </w:pPr>
    <w:rPr/>
  </w:style>
  <w:style w:type="paragraph" w:styleId="A1">
    <w:name w:val="A:1"/>
    <w:basedOn w:val="Normal"/>
    <w:qFormat/>
    <w:pPr>
      <w:spacing w:before="100" w:after="100"/>
      <w:ind w:hanging="0" w:start="1440" w:end="0"/>
    </w:pPr>
    <w:rPr>
      <w:sz w:val="28"/>
      <w:szCs w:val="28"/>
    </w:rPr>
  </w:style>
  <w:style w:type="paragraph" w:styleId="A1b">
    <w:name w:val="A:1:b"/>
    <w:basedOn w:val="Normal"/>
    <w:qFormat/>
    <w:pPr>
      <w:numPr>
        <w:ilvl w:val="0"/>
        <w:numId w:val="4"/>
      </w:numPr>
      <w:spacing w:before="100" w:after="100"/>
      <w:ind w:hanging="360" w:start="2160" w:end="0"/>
    </w:pPr>
    <w:rPr>
      <w:sz w:val="28"/>
      <w:szCs w:val="28"/>
    </w:rPr>
  </w:style>
  <w:style w:type="paragraph" w:styleId="A1bbox">
    <w:name w:val="A:1:bbox"/>
    <w:basedOn w:val="Normal"/>
    <w:qFormat/>
    <w:pPr>
      <w:numPr>
        <w:ilvl w:val="0"/>
        <w:numId w:val="5"/>
      </w:numPr>
      <w:spacing w:before="100" w:after="100"/>
      <w:ind w:hanging="360" w:start="2160" w:end="0"/>
    </w:pPr>
    <w:rPr>
      <w:sz w:val="28"/>
      <w:szCs w:val="28"/>
    </w:rPr>
  </w:style>
  <w:style w:type="paragraph" w:styleId="A1n">
    <w:name w:val="A:1:n"/>
    <w:basedOn w:val="Normal"/>
    <w:qFormat/>
    <w:pPr>
      <w:numPr>
        <w:ilvl w:val="0"/>
        <w:numId w:val="6"/>
      </w:numPr>
      <w:spacing w:before="100" w:after="100"/>
      <w:ind w:hanging="720" w:start="2160" w:end="0"/>
    </w:pPr>
    <w:rPr>
      <w:sz w:val="28"/>
      <w:szCs w:val="28"/>
    </w:rPr>
  </w:style>
  <w:style w:type="paragraph" w:styleId="B0">
    <w:name w:val="B:0"/>
    <w:basedOn w:val="Normal"/>
    <w:qFormat/>
    <w:pPr>
      <w:spacing w:before="100" w:after="100"/>
      <w:ind w:hanging="0" w:start="2160" w:end="0"/>
    </w:pPr>
    <w:rPr/>
  </w:style>
  <w:style w:type="paragraph" w:styleId="B0b">
    <w:name w:val="B:0:b"/>
    <w:basedOn w:val="Normal"/>
    <w:qFormat/>
    <w:pPr>
      <w:numPr>
        <w:ilvl w:val="0"/>
        <w:numId w:val="7"/>
      </w:numPr>
      <w:spacing w:before="100" w:after="100"/>
      <w:ind w:hanging="360" w:start="2880" w:end="0"/>
    </w:pPr>
    <w:rPr/>
  </w:style>
  <w:style w:type="paragraph" w:styleId="B0bbox">
    <w:name w:val="B:0:bbox"/>
    <w:basedOn w:val="Normal"/>
    <w:qFormat/>
    <w:pPr>
      <w:numPr>
        <w:ilvl w:val="0"/>
        <w:numId w:val="8"/>
      </w:numPr>
      <w:spacing w:before="100" w:after="100"/>
      <w:ind w:hanging="360" w:start="2880" w:end="0"/>
    </w:pPr>
    <w:rPr/>
  </w:style>
  <w:style w:type="paragraph" w:styleId="B0n">
    <w:name w:val="B:0:n"/>
    <w:basedOn w:val="Normal"/>
    <w:qFormat/>
    <w:pPr>
      <w:numPr>
        <w:ilvl w:val="0"/>
        <w:numId w:val="9"/>
      </w:numPr>
      <w:spacing w:before="100" w:after="100"/>
      <w:ind w:hanging="720" w:start="2880" w:end="0"/>
    </w:pPr>
    <w:rPr/>
  </w:style>
  <w:style w:type="paragraph" w:styleId="B1">
    <w:name w:val="B:1"/>
    <w:basedOn w:val="Normal"/>
    <w:qFormat/>
    <w:pPr>
      <w:spacing w:before="100" w:after="100"/>
      <w:ind w:hanging="0" w:start="2160" w:end="0"/>
    </w:pPr>
    <w:rPr>
      <w:sz w:val="28"/>
      <w:szCs w:val="28"/>
    </w:rPr>
  </w:style>
  <w:style w:type="paragraph" w:styleId="B1b">
    <w:name w:val="B:1:b"/>
    <w:basedOn w:val="Normal"/>
    <w:qFormat/>
    <w:pPr>
      <w:numPr>
        <w:ilvl w:val="0"/>
        <w:numId w:val="10"/>
      </w:numPr>
      <w:spacing w:before="100" w:after="100"/>
      <w:ind w:hanging="360" w:start="2880" w:end="0"/>
    </w:pPr>
    <w:rPr>
      <w:sz w:val="28"/>
      <w:szCs w:val="28"/>
    </w:rPr>
  </w:style>
  <w:style w:type="paragraph" w:styleId="B1bbox">
    <w:name w:val="B:1:bbox"/>
    <w:basedOn w:val="Normal"/>
    <w:qFormat/>
    <w:pPr>
      <w:numPr>
        <w:ilvl w:val="0"/>
        <w:numId w:val="11"/>
      </w:numPr>
      <w:spacing w:before="100" w:after="100"/>
      <w:ind w:hanging="360" w:start="2880" w:end="0"/>
    </w:pPr>
    <w:rPr>
      <w:sz w:val="28"/>
      <w:szCs w:val="28"/>
    </w:rPr>
  </w:style>
  <w:style w:type="paragraph" w:styleId="B1n">
    <w:name w:val="B:1:n"/>
    <w:basedOn w:val="Normal"/>
    <w:qFormat/>
    <w:pPr>
      <w:numPr>
        <w:ilvl w:val="0"/>
        <w:numId w:val="12"/>
      </w:numPr>
      <w:spacing w:before="100" w:after="100"/>
      <w:ind w:hanging="720" w:start="2880" w:end="0"/>
    </w:pPr>
    <w:rPr>
      <w:sz w:val="28"/>
      <w:szCs w:val="28"/>
    </w:rPr>
  </w:style>
  <w:style w:type="paragraph" w:styleId="C0">
    <w:name w:val="C:0"/>
    <w:basedOn w:val="Normal"/>
    <w:qFormat/>
    <w:pPr>
      <w:spacing w:before="100" w:after="100"/>
      <w:ind w:hanging="0" w:start="2880" w:end="0"/>
    </w:pPr>
    <w:rPr/>
  </w:style>
  <w:style w:type="paragraph" w:styleId="C0b">
    <w:name w:val="C:0:b"/>
    <w:basedOn w:val="Normal"/>
    <w:qFormat/>
    <w:pPr>
      <w:numPr>
        <w:ilvl w:val="0"/>
        <w:numId w:val="13"/>
      </w:numPr>
      <w:spacing w:before="100" w:after="100"/>
      <w:ind w:hanging="360" w:start="3600" w:end="0"/>
    </w:pPr>
    <w:rPr/>
  </w:style>
  <w:style w:type="paragraph" w:styleId="C0bbox">
    <w:name w:val="C:0:bbox"/>
    <w:basedOn w:val="Normal"/>
    <w:qFormat/>
    <w:pPr>
      <w:numPr>
        <w:ilvl w:val="0"/>
        <w:numId w:val="14"/>
      </w:numPr>
      <w:spacing w:before="100" w:after="100"/>
      <w:ind w:hanging="360" w:start="3600" w:end="0"/>
    </w:pPr>
    <w:rPr/>
  </w:style>
  <w:style w:type="paragraph" w:styleId="C0n">
    <w:name w:val="C:0:n"/>
    <w:basedOn w:val="Normal"/>
    <w:qFormat/>
    <w:pPr>
      <w:numPr>
        <w:ilvl w:val="0"/>
        <w:numId w:val="15"/>
      </w:numPr>
      <w:spacing w:before="100" w:after="100"/>
      <w:ind w:hanging="720" w:start="3600" w:end="0"/>
    </w:pPr>
    <w:rPr/>
  </w:style>
  <w:style w:type="paragraph" w:styleId="C1">
    <w:name w:val="C:1"/>
    <w:basedOn w:val="Normal"/>
    <w:qFormat/>
    <w:pPr>
      <w:spacing w:before="100" w:after="100"/>
      <w:ind w:hanging="0" w:start="2880" w:end="0"/>
    </w:pPr>
    <w:rPr>
      <w:sz w:val="28"/>
      <w:szCs w:val="28"/>
    </w:rPr>
  </w:style>
  <w:style w:type="paragraph" w:styleId="C1b">
    <w:name w:val="C:1:b"/>
    <w:basedOn w:val="Normal"/>
    <w:qFormat/>
    <w:pPr>
      <w:numPr>
        <w:ilvl w:val="0"/>
        <w:numId w:val="16"/>
      </w:numPr>
      <w:spacing w:before="100" w:after="100"/>
      <w:ind w:hanging="360" w:start="3600" w:end="0"/>
    </w:pPr>
    <w:rPr>
      <w:sz w:val="28"/>
      <w:szCs w:val="28"/>
    </w:rPr>
  </w:style>
  <w:style w:type="paragraph" w:styleId="C1bbox">
    <w:name w:val="C:1:bbox"/>
    <w:basedOn w:val="Normal"/>
    <w:qFormat/>
    <w:pPr>
      <w:numPr>
        <w:ilvl w:val="0"/>
        <w:numId w:val="17"/>
      </w:numPr>
      <w:spacing w:before="100" w:after="100"/>
      <w:ind w:hanging="360" w:start="3600" w:end="0"/>
    </w:pPr>
    <w:rPr>
      <w:sz w:val="28"/>
      <w:szCs w:val="28"/>
    </w:rPr>
  </w:style>
  <w:style w:type="paragraph" w:styleId="C1n">
    <w:name w:val="C:1:n"/>
    <w:basedOn w:val="Normal"/>
    <w:qFormat/>
    <w:pPr>
      <w:numPr>
        <w:ilvl w:val="0"/>
        <w:numId w:val="18"/>
      </w:numPr>
      <w:spacing w:before="100" w:after="100"/>
      <w:ind w:hanging="720" w:start="3600" w:end="0"/>
    </w:pPr>
    <w:rPr>
      <w:sz w:val="28"/>
      <w:szCs w:val="28"/>
    </w:rPr>
  </w:style>
  <w:style w:type="paragraph" w:styleId="Cnp">
    <w:name w:val="Cnp"/>
    <w:basedOn w:val="Normal"/>
    <w:next w:val="Normal"/>
    <w:qFormat/>
    <w:pPr>
      <w:numPr>
        <w:ilvl w:val="0"/>
        <w:numId w:val="20"/>
      </w:numPr>
    </w:pPr>
    <w:rPr>
      <w:b/>
      <w:bCs/>
      <w:sz w:val="24"/>
      <w:szCs w:val="24"/>
    </w:rPr>
  </w:style>
  <w:style w:type="paragraph" w:styleId="CoverPage">
    <w:name w:val="Cover Page"/>
    <w:basedOn w:val="Normal"/>
    <w:qFormat/>
    <w:pPr>
      <w:ind w:hanging="0" w:start="1440" w:end="0"/>
    </w:pPr>
    <w:rPr>
      <w:sz w:val="28"/>
      <w:szCs w:val="28"/>
    </w:rPr>
  </w:style>
  <w:style w:type="paragraph" w:styleId="D0">
    <w:name w:val="D:0"/>
    <w:basedOn w:val="Normal"/>
    <w:qFormat/>
    <w:pPr>
      <w:spacing w:before="100" w:after="100"/>
      <w:ind w:hanging="0" w:start="3600" w:end="0"/>
    </w:pPr>
    <w:rPr/>
  </w:style>
  <w:style w:type="paragraph" w:styleId="D0b">
    <w:name w:val="D:0:b"/>
    <w:basedOn w:val="Normal"/>
    <w:qFormat/>
    <w:pPr>
      <w:numPr>
        <w:ilvl w:val="0"/>
        <w:numId w:val="21"/>
      </w:numPr>
      <w:spacing w:before="100" w:after="100"/>
      <w:ind w:hanging="360" w:start="4320" w:end="0"/>
    </w:pPr>
    <w:rPr/>
  </w:style>
  <w:style w:type="paragraph" w:styleId="D0bbox">
    <w:name w:val="D:0:bbox"/>
    <w:basedOn w:val="Normal"/>
    <w:qFormat/>
    <w:pPr>
      <w:numPr>
        <w:ilvl w:val="0"/>
        <w:numId w:val="22"/>
      </w:numPr>
      <w:spacing w:before="100" w:after="100"/>
      <w:ind w:hanging="360" w:start="4320" w:end="0"/>
    </w:pPr>
    <w:rPr/>
  </w:style>
  <w:style w:type="paragraph" w:styleId="D0n">
    <w:name w:val="D:0:n"/>
    <w:basedOn w:val="Normal"/>
    <w:qFormat/>
    <w:pPr>
      <w:numPr>
        <w:ilvl w:val="0"/>
        <w:numId w:val="23"/>
      </w:numPr>
      <w:spacing w:before="100" w:after="100"/>
      <w:ind w:hanging="720" w:start="4320" w:end="0"/>
    </w:pPr>
    <w:rPr/>
  </w:style>
  <w:style w:type="paragraph" w:styleId="D1">
    <w:name w:val="D:1"/>
    <w:basedOn w:val="Normal"/>
    <w:qFormat/>
    <w:pPr>
      <w:spacing w:before="100" w:after="100"/>
      <w:ind w:hanging="0" w:start="3600" w:end="0"/>
    </w:pPr>
    <w:rPr>
      <w:sz w:val="28"/>
      <w:szCs w:val="28"/>
    </w:rPr>
  </w:style>
  <w:style w:type="paragraph" w:styleId="D1b">
    <w:name w:val="D:1:b"/>
    <w:basedOn w:val="Normal"/>
    <w:qFormat/>
    <w:pPr>
      <w:numPr>
        <w:ilvl w:val="0"/>
        <w:numId w:val="24"/>
      </w:numPr>
      <w:spacing w:before="100" w:after="100"/>
      <w:ind w:hanging="360" w:start="4320" w:end="0"/>
    </w:pPr>
    <w:rPr>
      <w:sz w:val="28"/>
      <w:szCs w:val="28"/>
    </w:rPr>
  </w:style>
  <w:style w:type="paragraph" w:styleId="D1bbox">
    <w:name w:val="D:1:bbox"/>
    <w:basedOn w:val="Normal"/>
    <w:qFormat/>
    <w:pPr>
      <w:numPr>
        <w:ilvl w:val="0"/>
        <w:numId w:val="25"/>
      </w:numPr>
      <w:spacing w:before="100" w:after="100"/>
      <w:ind w:hanging="360" w:start="4320" w:end="0"/>
    </w:pPr>
    <w:rPr>
      <w:sz w:val="28"/>
      <w:szCs w:val="28"/>
    </w:rPr>
  </w:style>
  <w:style w:type="paragraph" w:styleId="D1n">
    <w:name w:val="D:1:n"/>
    <w:basedOn w:val="Normal"/>
    <w:qFormat/>
    <w:pPr>
      <w:numPr>
        <w:ilvl w:val="0"/>
        <w:numId w:val="26"/>
      </w:numPr>
      <w:spacing w:before="100" w:after="100"/>
      <w:ind w:hanging="720" w:start="4320" w:end="0"/>
    </w:pPr>
    <w:rPr>
      <w:sz w:val="28"/>
      <w:szCs w:val="28"/>
    </w:rPr>
  </w:style>
  <w:style w:type="paragraph" w:styleId="E0">
    <w:name w:val="E:0"/>
    <w:basedOn w:val="Normal"/>
    <w:qFormat/>
    <w:pPr>
      <w:spacing w:before="100" w:after="100"/>
      <w:ind w:hanging="0" w:start="4320" w:end="0"/>
    </w:pPr>
    <w:rPr/>
  </w:style>
  <w:style w:type="paragraph" w:styleId="E0b">
    <w:name w:val="E:0:b"/>
    <w:basedOn w:val="Normal"/>
    <w:qFormat/>
    <w:pPr>
      <w:numPr>
        <w:ilvl w:val="0"/>
        <w:numId w:val="27"/>
      </w:numPr>
      <w:spacing w:before="100" w:after="100"/>
      <w:ind w:hanging="360" w:start="5040" w:end="0"/>
    </w:pPr>
    <w:rPr/>
  </w:style>
  <w:style w:type="paragraph" w:styleId="E0bbox">
    <w:name w:val="E:0:bbox"/>
    <w:basedOn w:val="Normal"/>
    <w:qFormat/>
    <w:pPr>
      <w:numPr>
        <w:ilvl w:val="0"/>
        <w:numId w:val="28"/>
      </w:numPr>
      <w:spacing w:before="100" w:after="100"/>
      <w:ind w:hanging="360" w:start="5040" w:end="0"/>
    </w:pPr>
    <w:rPr/>
  </w:style>
  <w:style w:type="paragraph" w:styleId="E0n">
    <w:name w:val="E:0:n"/>
    <w:basedOn w:val="Normal"/>
    <w:qFormat/>
    <w:pPr>
      <w:numPr>
        <w:ilvl w:val="0"/>
        <w:numId w:val="29"/>
      </w:numPr>
      <w:spacing w:before="100" w:after="100"/>
      <w:ind w:hanging="720" w:start="5040" w:end="0"/>
    </w:pPr>
    <w:rPr/>
  </w:style>
  <w:style w:type="paragraph" w:styleId="E1">
    <w:name w:val="E:1"/>
    <w:basedOn w:val="Normal"/>
    <w:qFormat/>
    <w:pPr>
      <w:spacing w:before="100" w:after="100"/>
      <w:ind w:hanging="0" w:start="4320" w:end="0"/>
    </w:pPr>
    <w:rPr>
      <w:sz w:val="28"/>
      <w:szCs w:val="28"/>
    </w:rPr>
  </w:style>
  <w:style w:type="paragraph" w:styleId="E1b">
    <w:name w:val="E:1:b"/>
    <w:basedOn w:val="Normal"/>
    <w:qFormat/>
    <w:pPr>
      <w:numPr>
        <w:ilvl w:val="0"/>
        <w:numId w:val="30"/>
      </w:numPr>
      <w:spacing w:before="100" w:after="100"/>
      <w:ind w:hanging="360" w:start="5040" w:end="0"/>
    </w:pPr>
    <w:rPr>
      <w:sz w:val="28"/>
      <w:szCs w:val="28"/>
    </w:rPr>
  </w:style>
  <w:style w:type="paragraph" w:styleId="E1bbox">
    <w:name w:val="E:1:bbox"/>
    <w:basedOn w:val="Normal"/>
    <w:qFormat/>
    <w:pPr>
      <w:numPr>
        <w:ilvl w:val="0"/>
        <w:numId w:val="31"/>
      </w:numPr>
      <w:spacing w:before="100" w:after="100"/>
      <w:ind w:hanging="360" w:start="5040" w:end="0"/>
    </w:pPr>
    <w:rPr>
      <w:sz w:val="28"/>
      <w:szCs w:val="28"/>
    </w:rPr>
  </w:style>
  <w:style w:type="paragraph" w:styleId="E1n">
    <w:name w:val="E:1:n"/>
    <w:basedOn w:val="Normal"/>
    <w:qFormat/>
    <w:pPr>
      <w:numPr>
        <w:ilvl w:val="0"/>
        <w:numId w:val="32"/>
      </w:numPr>
      <w:spacing w:before="100" w:after="100"/>
      <w:ind w:hanging="720" w:start="504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tnote0">
    <w:name w:val="Ftnote:0"/>
    <w:basedOn w:val="Normal"/>
    <w:next w:val="Normal"/>
    <w:qFormat/>
    <w:pPr>
      <w:spacing w:before="0" w:after="120"/>
    </w:pPr>
    <w:rPr>
      <w:sz w:val="16"/>
      <w:szCs w:val="16"/>
    </w:rPr>
  </w:style>
  <w:style w:type="paragraph" w:styleId="Ftnote1">
    <w:name w:val="Ftnote:1"/>
    <w:basedOn w:val="Normal"/>
    <w:next w:val="Normal"/>
    <w:qFormat/>
    <w:pPr>
      <w:pBdr>
        <w:top w:val="single" w:sz="6" w:space="1" w:color="000000"/>
      </w:pBdr>
      <w:spacing w:before="0" w:after="120"/>
    </w:pPr>
    <w:rPr>
      <w:sz w:val="16"/>
      <w:szCs w:val="16"/>
    </w:rPr>
  </w:style>
  <w:style w:type="paragraph" w:styleId="Hd0">
    <w:name w:val="Hd:0"/>
    <w:basedOn w:val="Normal"/>
    <w:next w:val="Normal"/>
    <w:qFormat/>
    <w:pPr>
      <w:spacing w:before="240" w:after="120"/>
    </w:pPr>
    <w:rPr>
      <w:b/>
      <w:bCs/>
      <w:sz w:val="28"/>
      <w:szCs w:val="28"/>
    </w:rPr>
  </w:style>
  <w:style w:type="paragraph" w:styleId="Hd1">
    <w:name w:val="Hd:1"/>
    <w:basedOn w:val="Normal"/>
    <w:next w:val="Normal"/>
    <w:qFormat/>
    <w:pPr>
      <w:tabs>
        <w:tab w:val="clear" w:pos="720"/>
        <w:tab w:val="right" w:pos="9360" w:leader="none"/>
      </w:tabs>
      <w:spacing w:before="120" w:after="120"/>
    </w:pPr>
    <w:rPr>
      <w:b/>
      <w:bCs/>
      <w:sz w:val="36"/>
      <w:szCs w:val="36"/>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qFormat/>
    <w:pPr/>
    <w:rPr>
      <w:b/>
      <w:bCs/>
      <w:vanish/>
      <w:color w:val="FF0000"/>
      <w:sz w:val="16"/>
      <w:szCs w:val="16"/>
    </w:rPr>
  </w:style>
  <w:style w:type="paragraph" w:styleId="IntroPage">
    <w:name w:val="Intro Page"/>
    <w:basedOn w:val="Normal"/>
    <w:qFormat/>
    <w:pPr/>
    <w:rPr/>
  </w:style>
  <w:style w:type="paragraph" w:styleId="Note">
    <w:name w:val="Note"/>
    <w:basedOn w:val="Normal"/>
    <w:next w:val="Normal"/>
    <w:qFormat/>
    <w:pPr>
      <w:numPr>
        <w:ilvl w:val="0"/>
        <w:numId w:val="33"/>
      </w:numPr>
      <w:spacing w:before="40" w:after="0"/>
      <w:ind w:hanging="720" w:start="720" w:end="0"/>
    </w:pPr>
    <w:rPr>
      <w:sz w:val="16"/>
      <w:szCs w:val="16"/>
    </w:rPr>
  </w:style>
  <w:style w:type="paragraph" w:styleId="Scov0">
    <w:name w:val="Scov:0"/>
    <w:basedOn w:val="Normal"/>
    <w:next w:val="Normal"/>
    <w:qFormat/>
    <w:pPr>
      <w:spacing w:before="0" w:after="360"/>
      <w:ind w:hanging="0" w:start="1440" w:end="2880"/>
    </w:pPr>
    <w:rPr>
      <w:b/>
      <w:bCs/>
      <w:sz w:val="36"/>
      <w:szCs w:val="36"/>
    </w:rPr>
  </w:style>
  <w:style w:type="paragraph" w:styleId="Scov1">
    <w:name w:val="Scov:1"/>
    <w:basedOn w:val="Normal"/>
    <w:next w:val="Normal"/>
    <w:qFormat/>
    <w:pPr>
      <w:spacing w:before="0" w:after="360"/>
      <w:ind w:hanging="0" w:start="1440" w:end="2880"/>
    </w:pPr>
    <w:rPr>
      <w:b/>
      <w:bCs/>
      <w:sz w:val="36"/>
      <w:szCs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bCs/>
      <w:sz w:val="36"/>
      <w:szCs w:val="36"/>
    </w:rPr>
  </w:style>
  <w:style w:type="paragraph" w:styleId="Sec1">
    <w:name w:val="Sec:1"/>
    <w:basedOn w:val="Normal"/>
    <w:next w:val="Normal"/>
    <w:qFormat/>
    <w:pPr>
      <w:pageBreakBefore/>
      <w:pBdr>
        <w:left w:val="single" w:sz="6" w:space="31" w:color="FFFFFF"/>
        <w:bottom w:val="single" w:sz="6" w:space="1" w:color="000000"/>
        <w:right w:val="single" w:sz="6" w:space="31" w:color="FFFFFF"/>
      </w:pBdr>
      <w:tabs>
        <w:tab w:val="clear" w:pos="720"/>
        <w:tab w:val="right" w:pos="9360" w:leader="none"/>
      </w:tabs>
      <w:spacing w:before="0" w:after="240"/>
    </w:pPr>
    <w:rPr>
      <w:b/>
      <w:bCs/>
      <w:sz w:val="48"/>
      <w:szCs w:val="48"/>
    </w:rPr>
  </w:style>
  <w:style w:type="paragraph" w:styleId="Source">
    <w:name w:val="Source"/>
    <w:basedOn w:val="Normal"/>
    <w:next w:val="Normal"/>
    <w:qFormat/>
    <w:pPr>
      <w:numPr>
        <w:ilvl w:val="0"/>
        <w:numId w:val="34"/>
      </w:numPr>
      <w:spacing w:before="40" w:after="0"/>
      <w:ind w:hanging="720" w:start="720" w:end="0"/>
    </w:pPr>
    <w:rPr>
      <w:sz w:val="16"/>
      <w:szCs w:val="16"/>
    </w:rPr>
  </w:style>
  <w:style w:type="paragraph" w:styleId="Sub0">
    <w:name w:val="Sub:0"/>
    <w:basedOn w:val="Normal"/>
    <w:qFormat/>
    <w:pPr>
      <w:spacing w:before="240" w:after="120"/>
      <w:ind w:hanging="0" w:start="1440" w:end="0"/>
    </w:pPr>
    <w:rPr>
      <w:b/>
      <w:bCs/>
      <w:sz w:val="24"/>
      <w:szCs w:val="24"/>
    </w:rPr>
  </w:style>
  <w:style w:type="paragraph" w:styleId="Sub0b">
    <w:name w:val="Sub:0:b"/>
    <w:basedOn w:val="Normal"/>
    <w:qFormat/>
    <w:pPr>
      <w:numPr>
        <w:ilvl w:val="0"/>
        <w:numId w:val="35"/>
      </w:numPr>
      <w:spacing w:before="240" w:after="120"/>
      <w:ind w:hanging="360" w:start="1440" w:end="0"/>
    </w:pPr>
    <w:rPr>
      <w:b/>
      <w:bCs/>
      <w:sz w:val="24"/>
      <w:szCs w:val="24"/>
    </w:rPr>
  </w:style>
  <w:style w:type="paragraph" w:styleId="Sub0n">
    <w:name w:val="Sub:0:n"/>
    <w:basedOn w:val="Normal"/>
    <w:qFormat/>
    <w:pPr>
      <w:spacing w:before="240" w:after="120"/>
    </w:pPr>
    <w:rPr>
      <w:b/>
      <w:bCs/>
      <w:sz w:val="24"/>
      <w:szCs w:val="24"/>
    </w:rPr>
  </w:style>
  <w:style w:type="paragraph" w:styleId="Sub1">
    <w:name w:val="Sub:1"/>
    <w:basedOn w:val="Normal"/>
    <w:qFormat/>
    <w:pPr>
      <w:spacing w:before="120" w:after="120"/>
      <w:ind w:hanging="0" w:start="1440" w:end="0"/>
    </w:pPr>
    <w:rPr>
      <w:b/>
      <w:bCs/>
      <w:sz w:val="28"/>
      <w:szCs w:val="28"/>
    </w:rPr>
  </w:style>
  <w:style w:type="paragraph" w:styleId="Sub1b">
    <w:name w:val="Sub:1:b"/>
    <w:basedOn w:val="Normal"/>
    <w:qFormat/>
    <w:pPr>
      <w:numPr>
        <w:ilvl w:val="0"/>
        <w:numId w:val="36"/>
      </w:numPr>
      <w:spacing w:before="120" w:after="120"/>
      <w:ind w:hanging="360" w:start="1440" w:end="0"/>
    </w:pPr>
    <w:rPr>
      <w:b/>
      <w:bCs/>
      <w:sz w:val="28"/>
      <w:szCs w:val="28"/>
    </w:rPr>
  </w:style>
  <w:style w:type="paragraph" w:styleId="Sub1n">
    <w:name w:val="Sub:1:n"/>
    <w:basedOn w:val="Normal"/>
    <w:qFormat/>
    <w:pPr>
      <w:numPr>
        <w:ilvl w:val="0"/>
        <w:numId w:val="37"/>
      </w:numPr>
      <w:spacing w:before="120" w:after="120"/>
      <w:ind w:hanging="720" w:start="1440" w:end="0"/>
    </w:pPr>
    <w:rPr>
      <w:b/>
      <w:bCs/>
      <w:sz w:val="28"/>
      <w:szCs w:val="28"/>
    </w:rPr>
  </w:style>
  <w:style w:type="paragraph" w:styleId="T0">
    <w:name w:val="T:0"/>
    <w:basedOn w:val="Normal"/>
    <w:qFormat/>
    <w:pPr>
      <w:spacing w:before="100" w:after="100"/>
    </w:pPr>
    <w:rPr/>
  </w:style>
  <w:style w:type="paragraph" w:styleId="T0b">
    <w:name w:val="T:0:b"/>
    <w:basedOn w:val="Normal"/>
    <w:qFormat/>
    <w:pPr>
      <w:numPr>
        <w:ilvl w:val="0"/>
        <w:numId w:val="38"/>
      </w:numPr>
      <w:spacing w:before="100" w:after="100"/>
      <w:ind w:hanging="360" w:start="360" w:end="0"/>
    </w:pPr>
    <w:rPr/>
  </w:style>
  <w:style w:type="paragraph" w:styleId="T0bbox">
    <w:name w:val="T:0:bbox"/>
    <w:basedOn w:val="Normal"/>
    <w:qFormat/>
    <w:pPr>
      <w:numPr>
        <w:ilvl w:val="0"/>
        <w:numId w:val="39"/>
      </w:numPr>
      <w:spacing w:before="100" w:after="100"/>
      <w:ind w:hanging="360" w:start="720" w:end="0"/>
    </w:pPr>
    <w:rPr/>
  </w:style>
  <w:style w:type="paragraph" w:styleId="T1">
    <w:name w:val="T:1"/>
    <w:basedOn w:val="Normal"/>
    <w:qFormat/>
    <w:pPr>
      <w:spacing w:before="100" w:after="100"/>
    </w:pPr>
    <w:rPr>
      <w:sz w:val="28"/>
      <w:szCs w:val="28"/>
    </w:rPr>
  </w:style>
  <w:style w:type="paragraph" w:styleId="T1b">
    <w:name w:val="T:1:b"/>
    <w:basedOn w:val="Normal"/>
    <w:qFormat/>
    <w:pPr>
      <w:numPr>
        <w:ilvl w:val="0"/>
        <w:numId w:val="40"/>
      </w:numPr>
      <w:spacing w:before="100" w:after="100"/>
      <w:ind w:hanging="360" w:start="360" w:end="0"/>
    </w:pPr>
    <w:rPr>
      <w:sz w:val="28"/>
      <w:szCs w:val="28"/>
    </w:rPr>
  </w:style>
  <w:style w:type="paragraph" w:styleId="T1bbox">
    <w:name w:val="T:1:bbox"/>
    <w:basedOn w:val="Normal"/>
    <w:qFormat/>
    <w:pPr>
      <w:numPr>
        <w:ilvl w:val="0"/>
        <w:numId w:val="41"/>
      </w:numPr>
      <w:spacing w:before="100" w:after="100"/>
      <w:ind w:hanging="360" w:start="720" w:end="0"/>
    </w:pPr>
    <w:rPr>
      <w:sz w:val="28"/>
      <w:szCs w:val="28"/>
    </w:rPr>
  </w:style>
  <w:style w:type="paragraph" w:styleId="TableHeadings">
    <w:name w:val="Table Headings"/>
    <w:basedOn w:val="Normal"/>
    <w:qFormat/>
    <w:pPr>
      <w:spacing w:before="36" w:after="36"/>
      <w:jc w:val="center"/>
    </w:pPr>
    <w:rPr>
      <w:caps/>
      <w:sz w:val="16"/>
      <w:szCs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szCs w:val="16"/>
    </w:rPr>
  </w:style>
  <w:style w:type="paragraph" w:styleId="Tfl0">
    <w:name w:val="Tf:l:0"/>
    <w:basedOn w:val="Normal"/>
    <w:qFormat/>
    <w:pPr>
      <w:spacing w:before="20" w:after="0"/>
      <w:ind w:hanging="288" w:start="288" w:end="0"/>
    </w:pPr>
    <w:rPr>
      <w:sz w:val="16"/>
      <w:szCs w:val="16"/>
    </w:rPr>
  </w:style>
  <w:style w:type="paragraph" w:styleId="Tfl1">
    <w:name w:val="Tf:l:1"/>
    <w:basedOn w:val="Normal"/>
    <w:qFormat/>
    <w:pPr>
      <w:spacing w:before="20" w:after="0"/>
      <w:ind w:hanging="288" w:start="1728" w:end="1440"/>
    </w:pPr>
    <w:rPr>
      <w:sz w:val="16"/>
      <w:szCs w:val="16"/>
    </w:rPr>
  </w:style>
  <w:style w:type="paragraph" w:styleId="Tfm0">
    <w:name w:val="Tf:m:0"/>
    <w:basedOn w:val="Normal"/>
    <w:qFormat/>
    <w:pPr>
      <w:spacing w:before="20" w:after="0"/>
      <w:ind w:hanging="288" w:start="1728" w:end="0"/>
    </w:pPr>
    <w:rPr>
      <w:sz w:val="16"/>
      <w:szCs w:val="16"/>
    </w:rPr>
  </w:style>
  <w:style w:type="paragraph" w:styleId="Tfm1">
    <w:name w:val="Tf:m:1"/>
    <w:basedOn w:val="Normal"/>
    <w:qFormat/>
    <w:pPr>
      <w:spacing w:before="20" w:after="0"/>
      <w:ind w:hanging="288" w:start="1728" w:end="2880"/>
    </w:pPr>
    <w:rPr>
      <w:sz w:val="16"/>
      <w:szCs w:val="16"/>
    </w:rPr>
  </w:style>
  <w:style w:type="paragraph" w:styleId="Tfs0">
    <w:name w:val="Tf:s:0"/>
    <w:basedOn w:val="Normal"/>
    <w:qFormat/>
    <w:pPr>
      <w:spacing w:before="20" w:after="0"/>
      <w:ind w:hanging="288" w:start="2808" w:end="2520"/>
    </w:pPr>
    <w:rPr>
      <w:sz w:val="16"/>
      <w:szCs w:val="16"/>
    </w:rPr>
  </w:style>
  <w:style w:type="paragraph" w:styleId="Tfs1">
    <w:name w:val="Tf:s:1"/>
    <w:basedOn w:val="Normal"/>
    <w:qFormat/>
    <w:pPr>
      <w:spacing w:before="20" w:after="0"/>
      <w:ind w:hanging="288" w:start="4752" w:end="2592"/>
    </w:pPr>
    <w:rPr>
      <w:sz w:val="16"/>
      <w:szCs w:val="16"/>
    </w:rPr>
  </w:style>
  <w:style w:type="paragraph" w:styleId="Thel1">
    <w:name w:val="Th:el:1"/>
    <w:basedOn w:val="Normal"/>
    <w:qFormat/>
    <w:pPr/>
    <w:rPr>
      <w:b/>
      <w:bCs/>
      <w:vanish/>
      <w:color w:val="FF0000"/>
      <w:sz w:val="16"/>
      <w:szCs w:val="16"/>
    </w:rPr>
  </w:style>
  <w:style w:type="paragraph" w:styleId="Thl0">
    <w:name w:val="Th:l:0"/>
    <w:basedOn w:val="Normal"/>
    <w:qFormat/>
    <w:pPr/>
    <w:rPr>
      <w:b/>
      <w:bCs/>
      <w:vanish/>
      <w:color w:val="FF0000"/>
      <w:sz w:val="16"/>
      <w:szCs w:val="16"/>
    </w:rPr>
  </w:style>
  <w:style w:type="paragraph" w:styleId="Thl1">
    <w:name w:val="Th:l:1"/>
    <w:basedOn w:val="Normal"/>
    <w:qFormat/>
    <w:pPr>
      <w:ind w:hanging="0" w:start="1440" w:end="1440"/>
    </w:pPr>
    <w:rPr>
      <w:b/>
      <w:bCs/>
      <w:vanish/>
      <w:color w:val="FF0000"/>
      <w:sz w:val="16"/>
      <w:szCs w:val="16"/>
    </w:rPr>
  </w:style>
  <w:style w:type="paragraph" w:styleId="Thm0">
    <w:name w:val="Th:m:0"/>
    <w:basedOn w:val="Normal"/>
    <w:qFormat/>
    <w:pPr>
      <w:ind w:hanging="0" w:start="1440" w:end="0"/>
    </w:pPr>
    <w:rPr>
      <w:b/>
      <w:bCs/>
      <w:vanish/>
      <w:color w:val="FF0000"/>
      <w:sz w:val="16"/>
      <w:szCs w:val="16"/>
    </w:rPr>
  </w:style>
  <w:style w:type="paragraph" w:styleId="Thm1">
    <w:name w:val="Th:m:1"/>
    <w:basedOn w:val="Normal"/>
    <w:qFormat/>
    <w:pPr>
      <w:ind w:hanging="0" w:start="1440" w:end="2880"/>
    </w:pPr>
    <w:rPr>
      <w:b/>
      <w:bCs/>
      <w:vanish/>
      <w:color w:val="FF0000"/>
      <w:sz w:val="16"/>
      <w:szCs w:val="16"/>
    </w:rPr>
  </w:style>
  <w:style w:type="paragraph" w:styleId="Ths0">
    <w:name w:val="Th:s:0"/>
    <w:basedOn w:val="Normal"/>
    <w:qFormat/>
    <w:pPr>
      <w:ind w:hanging="0" w:start="2520" w:end="1800"/>
    </w:pPr>
    <w:rPr>
      <w:b/>
      <w:bCs/>
      <w:vanish/>
      <w:color w:val="FF0000"/>
      <w:sz w:val="16"/>
      <w:szCs w:val="16"/>
    </w:rPr>
  </w:style>
  <w:style w:type="paragraph" w:styleId="Ths1">
    <w:name w:val="Th:s:1"/>
    <w:basedOn w:val="Normal"/>
    <w:qFormat/>
    <w:pPr>
      <w:ind w:hanging="0" w:start="4500" w:end="2610"/>
    </w:pPr>
    <w:rPr>
      <w:b/>
      <w:bCs/>
      <w:vanish/>
      <w:color w:val="FF0000"/>
      <w:sz w:val="16"/>
      <w:szCs w:val="16"/>
    </w:rPr>
  </w:style>
  <w:style w:type="paragraph" w:styleId="Tnel1">
    <w:name w:val="Tn:el:1"/>
    <w:basedOn w:val="Normal"/>
    <w:qFormat/>
    <w:pPr>
      <w:spacing w:before="20" w:after="0"/>
      <w:ind w:hanging="720" w:start="720" w:end="0"/>
    </w:pPr>
    <w:rPr>
      <w:sz w:val="16"/>
      <w:szCs w:val="16"/>
    </w:rPr>
  </w:style>
  <w:style w:type="paragraph" w:styleId="Tnl0">
    <w:name w:val="Tn:l:0"/>
    <w:basedOn w:val="Normal"/>
    <w:qFormat/>
    <w:pPr>
      <w:spacing w:before="20" w:after="0"/>
      <w:ind w:hanging="720" w:start="720" w:end="0"/>
    </w:pPr>
    <w:rPr>
      <w:i/>
      <w:iCs/>
      <w:sz w:val="16"/>
      <w:szCs w:val="16"/>
    </w:rPr>
  </w:style>
  <w:style w:type="paragraph" w:styleId="Tnl1">
    <w:name w:val="Tn:l:1"/>
    <w:basedOn w:val="Normal"/>
    <w:qFormat/>
    <w:pPr>
      <w:spacing w:before="20" w:after="0"/>
      <w:ind w:hanging="720" w:start="2160" w:end="1440"/>
    </w:pPr>
    <w:rPr>
      <w:sz w:val="16"/>
      <w:szCs w:val="16"/>
    </w:rPr>
  </w:style>
  <w:style w:type="paragraph" w:styleId="Tnm0">
    <w:name w:val="Tn:m:0"/>
    <w:basedOn w:val="Normal"/>
    <w:qFormat/>
    <w:pPr>
      <w:spacing w:before="20" w:after="0"/>
      <w:ind w:hanging="720" w:start="2160" w:end="0"/>
    </w:pPr>
    <w:rPr>
      <w:sz w:val="16"/>
      <w:szCs w:val="16"/>
    </w:rPr>
  </w:style>
  <w:style w:type="paragraph" w:styleId="Tnm1">
    <w:name w:val="Tn:m:1"/>
    <w:basedOn w:val="Normal"/>
    <w:qFormat/>
    <w:pPr>
      <w:spacing w:before="20" w:after="0"/>
      <w:ind w:hanging="720" w:start="2160" w:end="2880"/>
    </w:pPr>
    <w:rPr>
      <w:sz w:val="16"/>
      <w:szCs w:val="16"/>
    </w:rPr>
  </w:style>
  <w:style w:type="paragraph" w:styleId="Tns0">
    <w:name w:val="Tn:s:0"/>
    <w:basedOn w:val="Normal"/>
    <w:qFormat/>
    <w:pPr>
      <w:spacing w:before="20" w:after="0"/>
      <w:ind w:hanging="720" w:start="3240" w:end="2520"/>
    </w:pPr>
    <w:rPr>
      <w:sz w:val="16"/>
      <w:szCs w:val="16"/>
    </w:rPr>
  </w:style>
  <w:style w:type="paragraph" w:styleId="Tns1">
    <w:name w:val="Tn:s:1"/>
    <w:basedOn w:val="Normal"/>
    <w:qFormat/>
    <w:pPr>
      <w:spacing w:before="20" w:after="0"/>
      <w:ind w:hanging="720" w:start="5184" w:end="2592"/>
    </w:pPr>
    <w:rPr>
      <w:sz w:val="16"/>
      <w:szCs w:val="16"/>
    </w:rPr>
  </w:style>
  <w:style w:type="paragraph" w:styleId="TocA0">
    <w:name w:val="Toc:A0"/>
    <w:basedOn w:val="Normal"/>
    <w:qFormat/>
    <w:pPr>
      <w:tabs>
        <w:tab w:val="clear" w:pos="720"/>
        <w:tab w:val="right" w:pos="0" w:leader="dot"/>
      </w:tabs>
      <w:spacing w:before="120" w:after="120"/>
      <w:ind w:hanging="720" w:start="2160" w:end="960"/>
    </w:pPr>
    <w:rPr>
      <w:b/>
      <w:bCs/>
      <w:sz w:val="28"/>
      <w:szCs w:val="28"/>
    </w:rPr>
  </w:style>
  <w:style w:type="paragraph" w:styleId="TocA1">
    <w:name w:val="Toc:A1"/>
    <w:basedOn w:val="Normal"/>
    <w:qFormat/>
    <w:pPr>
      <w:tabs>
        <w:tab w:val="clear" w:pos="720"/>
        <w:tab w:val="right" w:pos="0" w:leader="dot"/>
      </w:tabs>
      <w:spacing w:before="100" w:after="100"/>
      <w:ind w:hanging="720" w:start="2160" w:end="1440"/>
    </w:pPr>
    <w:rPr>
      <w:b/>
      <w:bCs/>
      <w:sz w:val="28"/>
      <w:szCs w:val="28"/>
    </w:rPr>
  </w:style>
  <w:style w:type="paragraph" w:styleId="TocB0">
    <w:name w:val="Toc:B0"/>
    <w:basedOn w:val="Normal"/>
    <w:qFormat/>
    <w:pPr>
      <w:tabs>
        <w:tab w:val="clear" w:pos="720"/>
        <w:tab w:val="right" w:pos="0" w:leader="dot"/>
      </w:tabs>
      <w:spacing w:before="120" w:after="120"/>
      <w:ind w:hanging="720" w:start="2880" w:end="720"/>
    </w:pPr>
    <w:rPr>
      <w:b/>
      <w:bCs/>
      <w:sz w:val="24"/>
      <w:szCs w:val="24"/>
    </w:rPr>
  </w:style>
  <w:style w:type="paragraph" w:styleId="TocB1">
    <w:name w:val="Toc:B1"/>
    <w:basedOn w:val="Normal"/>
    <w:qFormat/>
    <w:pPr>
      <w:tabs>
        <w:tab w:val="clear" w:pos="720"/>
        <w:tab w:val="right" w:pos="0" w:leader="dot"/>
      </w:tabs>
      <w:spacing w:before="100" w:after="100"/>
      <w:ind w:hanging="720" w:start="2880" w:end="1440"/>
    </w:pPr>
    <w:rPr>
      <w:b/>
      <w:bCs/>
      <w:sz w:val="24"/>
      <w:szCs w:val="24"/>
    </w:rPr>
  </w:style>
  <w:style w:type="paragraph" w:styleId="TocC0">
    <w:name w:val="Toc:C0"/>
    <w:basedOn w:val="Normal"/>
    <w:qFormat/>
    <w:pPr>
      <w:tabs>
        <w:tab w:val="clear" w:pos="720"/>
        <w:tab w:val="right" w:pos="0" w:leader="dot"/>
      </w:tabs>
      <w:spacing w:before="120" w:after="120"/>
      <w:ind w:hanging="720" w:start="3600" w:end="720"/>
    </w:pPr>
    <w:rPr>
      <w:b/>
      <w:bCs/>
      <w:sz w:val="24"/>
      <w:szCs w:val="24"/>
    </w:rPr>
  </w:style>
  <w:style w:type="paragraph" w:styleId="TocC1">
    <w:name w:val="Toc:C1"/>
    <w:basedOn w:val="Normal"/>
    <w:qFormat/>
    <w:pPr>
      <w:tabs>
        <w:tab w:val="clear" w:pos="720"/>
        <w:tab w:val="right" w:pos="0" w:leader="dot"/>
      </w:tabs>
      <w:spacing w:before="100" w:after="100"/>
      <w:ind w:hanging="720" w:start="3600" w:end="1440"/>
    </w:pPr>
    <w:rPr>
      <w:b/>
      <w:bCs/>
      <w:sz w:val="24"/>
      <w:szCs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szCs w:val="36"/>
    </w:rPr>
  </w:style>
  <w:style w:type="paragraph" w:styleId="Tsel1">
    <w:name w:val="Ts:el:1"/>
    <w:basedOn w:val="Normal"/>
    <w:qFormat/>
    <w:pPr>
      <w:spacing w:before="0" w:after="120"/>
    </w:pPr>
    <w:rPr>
      <w:b/>
      <w:bCs/>
      <w:sz w:val="24"/>
      <w:szCs w:val="24"/>
    </w:rPr>
  </w:style>
  <w:style w:type="paragraph" w:styleId="Tsl0">
    <w:name w:val="Ts:l:0"/>
    <w:basedOn w:val="Normal"/>
    <w:qFormat/>
    <w:pPr>
      <w:spacing w:before="0" w:after="120"/>
    </w:pPr>
    <w:rPr>
      <w:b/>
      <w:bCs/>
      <w:sz w:val="24"/>
      <w:szCs w:val="24"/>
    </w:rPr>
  </w:style>
  <w:style w:type="paragraph" w:styleId="Tsl1">
    <w:name w:val="Ts:l:1"/>
    <w:basedOn w:val="Normal"/>
    <w:qFormat/>
    <w:pPr>
      <w:spacing w:before="0" w:after="120"/>
      <w:ind w:hanging="0" w:start="1440" w:end="1440"/>
    </w:pPr>
    <w:rPr>
      <w:b/>
      <w:bCs/>
      <w:sz w:val="24"/>
      <w:szCs w:val="24"/>
    </w:rPr>
  </w:style>
  <w:style w:type="paragraph" w:styleId="Tsm0">
    <w:name w:val="Ts:m:0"/>
    <w:basedOn w:val="Normal"/>
    <w:qFormat/>
    <w:pPr>
      <w:spacing w:before="0" w:after="120"/>
      <w:ind w:hanging="0" w:start="1440" w:end="0"/>
    </w:pPr>
    <w:rPr>
      <w:b/>
      <w:bCs/>
      <w:sz w:val="24"/>
      <w:szCs w:val="24"/>
    </w:rPr>
  </w:style>
  <w:style w:type="paragraph" w:styleId="Tsm1">
    <w:name w:val="Ts:m:1"/>
    <w:basedOn w:val="Normal"/>
    <w:qFormat/>
    <w:pPr>
      <w:spacing w:before="0" w:after="120"/>
      <w:ind w:hanging="0" w:start="1440" w:end="2880"/>
    </w:pPr>
    <w:rPr>
      <w:b/>
      <w:bCs/>
      <w:sz w:val="24"/>
      <w:szCs w:val="24"/>
    </w:rPr>
  </w:style>
  <w:style w:type="paragraph" w:styleId="Tss0">
    <w:name w:val="Ts:s:0"/>
    <w:basedOn w:val="Normal"/>
    <w:qFormat/>
    <w:pPr>
      <w:spacing w:before="0" w:after="120"/>
      <w:ind w:hanging="0" w:start="2520" w:end="2520"/>
    </w:pPr>
    <w:rPr>
      <w:b/>
      <w:bCs/>
      <w:sz w:val="24"/>
      <w:szCs w:val="24"/>
    </w:rPr>
  </w:style>
  <w:style w:type="paragraph" w:styleId="Tss1">
    <w:name w:val="Ts:s:1"/>
    <w:basedOn w:val="Normal"/>
    <w:qFormat/>
    <w:pPr>
      <w:spacing w:before="0" w:after="120"/>
      <w:ind w:hanging="0" w:start="4464" w:end="2592"/>
    </w:pPr>
    <w:rPr>
      <w:b/>
      <w:bCs/>
      <w:sz w:val="24"/>
      <w:szCs w:val="24"/>
    </w:rPr>
  </w:style>
  <w:style w:type="paragraph" w:styleId="Ttel1">
    <w:name w:val="Tt:el:1"/>
    <w:basedOn w:val="Normal"/>
    <w:qFormat/>
    <w:pPr>
      <w:spacing w:before="240" w:after="0"/>
    </w:pPr>
    <w:rPr>
      <w:b/>
      <w:bCs/>
      <w:sz w:val="28"/>
      <w:szCs w:val="28"/>
    </w:rPr>
  </w:style>
  <w:style w:type="paragraph" w:styleId="Ttl0">
    <w:name w:val="Tt:l:0"/>
    <w:basedOn w:val="Normal"/>
    <w:qFormat/>
    <w:pPr>
      <w:spacing w:before="240" w:after="0"/>
    </w:pPr>
    <w:rPr>
      <w:b/>
      <w:bCs/>
      <w:sz w:val="28"/>
      <w:szCs w:val="28"/>
    </w:rPr>
  </w:style>
  <w:style w:type="paragraph" w:styleId="Ttl1">
    <w:name w:val="Tt:l:1"/>
    <w:basedOn w:val="Normal"/>
    <w:qFormat/>
    <w:pPr>
      <w:spacing w:before="240" w:after="0"/>
      <w:ind w:hanging="0" w:start="1440" w:end="1440"/>
    </w:pPr>
    <w:rPr>
      <w:b/>
      <w:bCs/>
      <w:sz w:val="28"/>
      <w:szCs w:val="28"/>
    </w:rPr>
  </w:style>
  <w:style w:type="paragraph" w:styleId="Ttm0">
    <w:name w:val="Tt:m:0"/>
    <w:basedOn w:val="Normal"/>
    <w:qFormat/>
    <w:pPr>
      <w:spacing w:before="240" w:after="0"/>
      <w:ind w:hanging="0" w:start="1440" w:end="0"/>
    </w:pPr>
    <w:rPr>
      <w:b/>
      <w:bCs/>
      <w:sz w:val="28"/>
      <w:szCs w:val="28"/>
    </w:rPr>
  </w:style>
  <w:style w:type="paragraph" w:styleId="Ttm1">
    <w:name w:val="Tt:m:1"/>
    <w:basedOn w:val="Normal"/>
    <w:qFormat/>
    <w:pPr>
      <w:spacing w:before="240" w:after="0"/>
      <w:ind w:hanging="0" w:start="1440" w:end="2880"/>
    </w:pPr>
    <w:rPr>
      <w:b/>
      <w:bCs/>
      <w:sz w:val="28"/>
      <w:szCs w:val="28"/>
    </w:rPr>
  </w:style>
  <w:style w:type="paragraph" w:styleId="Tts0">
    <w:name w:val="Tt:s:0"/>
    <w:basedOn w:val="Normal"/>
    <w:qFormat/>
    <w:pPr>
      <w:spacing w:before="240" w:after="0"/>
      <w:ind w:hanging="0" w:start="2520" w:end="2520"/>
    </w:pPr>
    <w:rPr>
      <w:b/>
      <w:bCs/>
      <w:sz w:val="28"/>
      <w:szCs w:val="28"/>
    </w:rPr>
  </w:style>
  <w:style w:type="paragraph" w:styleId="Tts1">
    <w:name w:val="Tt:s:1"/>
    <w:basedOn w:val="Normal"/>
    <w:qFormat/>
    <w:pPr>
      <w:spacing w:before="240" w:after="0"/>
      <w:ind w:hanging="0" w:start="4464" w:end="2592"/>
    </w:pPr>
    <w:rPr>
      <w:b/>
      <w:bCs/>
      <w:sz w:val="28"/>
      <w:szCs w:val="28"/>
    </w:rPr>
  </w:style>
  <w:style w:type="paragraph" w:styleId="Tuel1">
    <w:name w:val="Tu:el:1"/>
    <w:basedOn w:val="Normal"/>
    <w:qFormat/>
    <w:pPr>
      <w:spacing w:before="0" w:after="20"/>
    </w:pPr>
    <w:rPr>
      <w:b/>
      <w:bCs/>
      <w:i/>
      <w:iCs/>
      <w:sz w:val="24"/>
      <w:szCs w:val="24"/>
    </w:rPr>
  </w:style>
  <w:style w:type="paragraph" w:styleId="Tul0">
    <w:name w:val="Tu:l:0"/>
    <w:basedOn w:val="Normal"/>
    <w:qFormat/>
    <w:pPr>
      <w:spacing w:before="0" w:after="20"/>
    </w:pPr>
    <w:rPr>
      <w:b/>
      <w:bCs/>
      <w:i/>
      <w:iCs/>
      <w:sz w:val="24"/>
      <w:szCs w:val="24"/>
    </w:rPr>
  </w:style>
  <w:style w:type="paragraph" w:styleId="Tul1">
    <w:name w:val="Tu:l:1"/>
    <w:basedOn w:val="Normal"/>
    <w:qFormat/>
    <w:pPr>
      <w:spacing w:before="0" w:after="20"/>
      <w:ind w:hanging="0" w:start="1440" w:end="1440"/>
    </w:pPr>
    <w:rPr>
      <w:b/>
      <w:bCs/>
      <w:i/>
      <w:iCs/>
      <w:sz w:val="24"/>
      <w:szCs w:val="24"/>
    </w:rPr>
  </w:style>
  <w:style w:type="paragraph" w:styleId="Tum0">
    <w:name w:val="Tu:m:0"/>
    <w:basedOn w:val="Normal"/>
    <w:qFormat/>
    <w:pPr>
      <w:spacing w:before="0" w:after="20"/>
      <w:ind w:hanging="0" w:start="1440" w:end="0"/>
    </w:pPr>
    <w:rPr>
      <w:b/>
      <w:bCs/>
      <w:i/>
      <w:iCs/>
      <w:sz w:val="24"/>
      <w:szCs w:val="24"/>
    </w:rPr>
  </w:style>
  <w:style w:type="paragraph" w:styleId="Tum1">
    <w:name w:val="Tu:m:1"/>
    <w:basedOn w:val="Normal"/>
    <w:qFormat/>
    <w:pPr>
      <w:spacing w:before="0" w:after="20"/>
      <w:ind w:hanging="0" w:start="1440" w:end="2880"/>
    </w:pPr>
    <w:rPr>
      <w:b/>
      <w:bCs/>
      <w:i/>
      <w:iCs/>
      <w:sz w:val="24"/>
      <w:szCs w:val="24"/>
    </w:rPr>
  </w:style>
  <w:style w:type="paragraph" w:styleId="Tus0">
    <w:name w:val="Tu:s:0"/>
    <w:basedOn w:val="Normal"/>
    <w:qFormat/>
    <w:pPr>
      <w:spacing w:before="0" w:after="20"/>
      <w:ind w:hanging="0" w:start="2520" w:end="2520"/>
    </w:pPr>
    <w:rPr>
      <w:b/>
      <w:bCs/>
      <w:i/>
      <w:iCs/>
      <w:sz w:val="24"/>
      <w:szCs w:val="24"/>
    </w:rPr>
  </w:style>
  <w:style w:type="paragraph" w:styleId="Tus1">
    <w:name w:val="Tu:s:1"/>
    <w:basedOn w:val="Normal"/>
    <w:qFormat/>
    <w:pPr>
      <w:spacing w:before="0" w:after="20"/>
      <w:ind w:hanging="0" w:start="4464" w:end="2592"/>
    </w:pPr>
    <w:rPr>
      <w:b/>
      <w:bCs/>
      <w:i/>
      <w:i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 w:type="numbering" w:styleId="WW8StyleNum17">
    <w:name w:val="WW8StyleNum17"/>
    <w:qFormat/>
  </w:style>
  <w:style w:type="numbering" w:styleId="WW8StyleNum18">
    <w:name w:val="WW8StyleNum18"/>
    <w:qFormat/>
  </w:style>
  <w:style w:type="numbering" w:styleId="WW8StyleNum19">
    <w:name w:val="WW8StyleNum19"/>
    <w:qFormat/>
  </w:style>
  <w:style w:type="numbering" w:styleId="WW8StyleNum20">
    <w:name w:val="WW8StyleNum20"/>
    <w:qFormat/>
  </w:style>
  <w:style w:type="numbering" w:styleId="WW8StyleNum21">
    <w:name w:val="WW8StyleNum21"/>
    <w:qFormat/>
  </w:style>
  <w:style w:type="numbering" w:styleId="WW8StyleNum22">
    <w:name w:val="WW8StyleNum22"/>
    <w:qFormat/>
  </w:style>
  <w:style w:type="numbering" w:styleId="WW8StyleNum23">
    <w:name w:val="WW8StyleNum23"/>
    <w:qFormat/>
  </w:style>
  <w:style w:type="numbering" w:styleId="WW8StyleNum24">
    <w:name w:val="WW8StyleNum24"/>
    <w:qFormat/>
  </w:style>
  <w:style w:type="numbering" w:styleId="WW8StyleNum25">
    <w:name w:val="WW8StyleNum25"/>
    <w:qFormat/>
  </w:style>
  <w:style w:type="numbering" w:styleId="WW8StyleNum26">
    <w:name w:val="WW8StyleNum26"/>
    <w:qFormat/>
  </w:style>
  <w:style w:type="numbering" w:styleId="WW8StyleNum27">
    <w:name w:val="WW8StyleNum27"/>
    <w:qFormat/>
  </w:style>
  <w:style w:type="numbering" w:styleId="WW8StyleNum28">
    <w:name w:val="WW8StyleNum28"/>
    <w:qFormat/>
  </w:style>
  <w:style w:type="numbering" w:styleId="WW8StyleNum29">
    <w:name w:val="WW8StyleNum29"/>
    <w:qFormat/>
  </w:style>
  <w:style w:type="numbering" w:styleId="WW8StyleNum30">
    <w:name w:val="WW8StyleNum30"/>
    <w:qFormat/>
  </w:style>
  <w:style w:type="numbering" w:styleId="WW8StyleNum31">
    <w:name w:val="WW8StyleNum31"/>
    <w:qFormat/>
  </w:style>
  <w:style w:type="numbering" w:styleId="WW8StyleNum32">
    <w:name w:val="WW8StyleNum32"/>
    <w:qFormat/>
  </w:style>
  <w:style w:type="numbering" w:styleId="WW8StyleNum33">
    <w:name w:val="WW8StyleNum33"/>
    <w:qFormat/>
  </w:style>
  <w:style w:type="numbering" w:styleId="WW8StyleNum34">
    <w:name w:val="WW8StyleNum34"/>
    <w:qFormat/>
  </w:style>
  <w:style w:type="numbering" w:styleId="WW8StyleNum35">
    <w:name w:val="WW8StyleNum35"/>
    <w:qFormat/>
  </w:style>
  <w:style w:type="numbering" w:styleId="WW8StyleNum36">
    <w:name w:val="WW8StyleNum36"/>
    <w:qFormat/>
  </w:style>
  <w:style w:type="numbering" w:styleId="WW8StyleNum37">
    <w:name w:val="WW8StyleNum37"/>
    <w:qFormat/>
  </w:style>
  <w:style w:type="numbering" w:styleId="WW8StyleNum38">
    <w:name w:val="WW8StyleNum38"/>
    <w:qFormat/>
  </w:style>
  <w:style w:type="numbering" w:styleId="WW8StyleNum39">
    <w:name w:val="WW8Style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_rels/header4.xml.rels><?xml version="1.0" encoding="UTF-8"?>
<Relationships xmlns="http://schemas.openxmlformats.org/package/2006/relationships"><Relationship Id="rId1" Type="http://schemas.openxmlformats.org/officeDocument/2006/relationships/image" Target="media/image2.emf"/>
</Relationships>
</file>

<file path=word/_rels/header6.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2000-10-05T05:33:00Z</dcterms:created>
  <dc:creator>pr03</dc:creator>
  <dc:description>vversion: 1.0.3b
  - fixed problem with "confidential" textbox causing Dr. Watsons
date: 7/25/2000
----------------------------------------------------
version: 1.0.3a
  - "None" logo now works correctly
  - Presentation Properties page num fiel</dc:description>
  <dc:language>en-CA</dc:language>
  <cp:lastModifiedBy>rmodi</cp:lastModifiedBy>
  <cp:lastPrinted>2000-10-05T02:07:00Z</cp:lastPrinted>
  <dcterms:modified xsi:type="dcterms:W3CDTF">2000-10-05T05:33:00Z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4</vt:r8>
  </property>
  <property fmtid="{D5CDD505-2E9C-101B-9397-08002B2CF9AE}" pid="3" name="Confidential">
    <vt:bool>1</vt:bool>
  </property>
  <property fmtid="{D5CDD505-2E9C-101B-9397-08002B2CF9AE}" pid="4" name="CoverPage">
    <vt:r8>1</vt:r8>
  </property>
  <property fmtid="{D5CDD505-2E9C-101B-9397-08002B2CF9AE}" pid="5" name="Date">
    <vt:lpwstr>October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3</vt:r8>
  </property>
  <property fmtid="{D5CDD505-2E9C-101B-9397-08002B2CF9AE}" pid="13" name="StartingPageNumber">
    <vt:r8>1</vt:r8>
  </property>
  <property fmtid="{D5CDD505-2E9C-101B-9397-08002B2CF9AE}" pid="14" name="TOCPage">
    <vt:r8>2</vt:r8>
  </property>
  <property fmtid="{D5CDD505-2E9C-101B-9397-08002B2CF9AE}" pid="15" name="TableOfContentsShowPageNumber">
    <vt:bool>0</vt:bool>
  </property>
  <property fmtid="{D5CDD505-2E9C-101B-9397-08002B2CF9AE}" pid="16" name="TableOfContentsTabLeaders">
    <vt:bool>0</vt:bool>
  </property>
  <property fmtid="{D5CDD505-2E9C-101B-9397-08002B2CF9AE}" pid="17" name="TimeStamp">
    <vt:bool>0</vt:bool>
  </property>
  <property fmtid="{D5CDD505-2E9C-101B-9397-08002B2CF9AE}" pid="18" name="Title">
    <vt:lpwstr>Enron North America Corp.</vt:lpwstr>
  </property>
</Properties>
</file>