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March 21, 2001</w:t>
      </w:r>
    </w:p>
    <w:p>
      <w:pPr>
        <w:pStyle w:val="Normal"/>
        <w:rPr>
          <w:sz w:val="24"/>
        </w:rPr>
      </w:pPr>
      <w:r>
        <w:rPr>
          <w:sz w:val="24"/>
        </w:rPr>
      </w:r>
    </w:p>
    <w:p>
      <w:pPr>
        <w:pStyle w:val="Normal"/>
        <w:rPr>
          <w:sz w:val="24"/>
        </w:rPr>
      </w:pPr>
      <w:r>
        <w:rPr>
          <w:sz w:val="24"/>
        </w:rPr>
        <w:t>Paul M. Murphy</w:t>
      </w:r>
    </w:p>
    <w:p>
      <w:pPr>
        <w:pStyle w:val="Normal"/>
        <w:rPr>
          <w:sz w:val="24"/>
        </w:rPr>
      </w:pPr>
      <w:r>
        <w:rPr>
          <w:sz w:val="24"/>
        </w:rPr>
        <w:t>Murphy &amp; Buchal LLP</w:t>
      </w:r>
    </w:p>
    <w:p>
      <w:pPr>
        <w:pStyle w:val="Normal"/>
        <w:rPr>
          <w:sz w:val="24"/>
        </w:rPr>
      </w:pPr>
      <w:r>
        <w:rPr>
          <w:sz w:val="24"/>
        </w:rPr>
        <w:t>1500 S.W. First Avenue, Suite 1135</w:t>
      </w:r>
    </w:p>
    <w:p>
      <w:pPr>
        <w:pStyle w:val="Normal"/>
        <w:rPr>
          <w:sz w:val="24"/>
        </w:rPr>
      </w:pPr>
      <w:r>
        <w:rPr>
          <w:sz w:val="24"/>
        </w:rPr>
        <w:t>Portland, OR  97201</w:t>
      </w:r>
    </w:p>
    <w:p>
      <w:pPr>
        <w:pStyle w:val="Normal"/>
        <w:rPr>
          <w:sz w:val="24"/>
        </w:rPr>
      </w:pPr>
      <w:r>
        <w:rPr>
          <w:sz w:val="24"/>
        </w:rPr>
      </w:r>
    </w:p>
    <w:p>
      <w:pPr>
        <w:pStyle w:val="Normal"/>
        <w:rPr>
          <w:sz w:val="24"/>
        </w:rPr>
      </w:pPr>
      <w:r>
        <w:rPr>
          <w:sz w:val="24"/>
        </w:rPr>
        <w:t>Response to Data Request:</w:t>
        <w:tab/>
        <w:t xml:space="preserve">  DS-OP:003 (Amended)</w:t>
      </w:r>
    </w:p>
    <w:p>
      <w:pPr>
        <w:pStyle w:val="Normal"/>
        <w:rPr>
          <w:sz w:val="24"/>
        </w:rPr>
      </w:pPr>
      <w:r>
        <w:rPr>
          <w:sz w:val="24"/>
        </w:rPr>
      </w:r>
    </w:p>
    <w:p>
      <w:pPr>
        <w:pStyle w:val="Normal"/>
        <w:rPr>
          <w:sz w:val="24"/>
        </w:rPr>
      </w:pPr>
      <w:r>
        <w:rPr>
          <w:sz w:val="24"/>
        </w:rPr>
        <w:t>Request_text:  Please disclose and/or produce any and all communications from October 16, 2000 to the present, between any of the party representatives listed below and any representative of BPA concerning rates to be in effect for BPA's Fiscal Years 2002-2006, the interactions of such rates and customer contracts, or procedural aspects of rate these proceedings.</w:t>
      </w:r>
    </w:p>
    <w:p>
      <w:pPr>
        <w:pStyle w:val="Normal"/>
        <w:rPr>
          <w:sz w:val="24"/>
        </w:rPr>
      </w:pPr>
      <w:r>
        <w:rPr>
          <w:sz w:val="24"/>
        </w:rPr>
      </w:r>
    </w:p>
    <w:p>
      <w:pPr>
        <w:pStyle w:val="Normal"/>
        <w:rPr>
          <w:sz w:val="24"/>
        </w:rPr>
      </w:pPr>
      <w:r>
        <w:rPr>
          <w:sz w:val="24"/>
        </w:rPr>
        <w:t>Terry Mundorf (WPAG)</w:t>
      </w:r>
    </w:p>
    <w:p>
      <w:pPr>
        <w:pStyle w:val="Normal"/>
        <w:rPr>
          <w:sz w:val="24"/>
        </w:rPr>
      </w:pPr>
      <w:r>
        <w:rPr>
          <w:sz w:val="24"/>
        </w:rPr>
        <w:t>Lon Peters (PGP)</w:t>
      </w:r>
    </w:p>
    <w:p>
      <w:pPr>
        <w:pStyle w:val="Normal"/>
        <w:rPr>
          <w:sz w:val="24"/>
        </w:rPr>
      </w:pPr>
      <w:r>
        <w:rPr>
          <w:sz w:val="24"/>
        </w:rPr>
        <w:t>Linc Wolverton (ICNU)</w:t>
      </w:r>
    </w:p>
    <w:p>
      <w:pPr>
        <w:pStyle w:val="Normal"/>
        <w:rPr>
          <w:sz w:val="24"/>
        </w:rPr>
      </w:pPr>
      <w:r>
        <w:rPr>
          <w:sz w:val="24"/>
        </w:rPr>
        <w:t>Scott Brattebo (PacifiCorp)</w:t>
      </w:r>
    </w:p>
    <w:p>
      <w:pPr>
        <w:pStyle w:val="Normal"/>
        <w:rPr>
          <w:sz w:val="24"/>
        </w:rPr>
      </w:pPr>
      <w:r>
        <w:rPr>
          <w:sz w:val="24"/>
        </w:rPr>
        <w:t>Kevin Clark (Seattle City Light)</w:t>
      </w:r>
    </w:p>
    <w:p>
      <w:pPr>
        <w:pStyle w:val="Normal"/>
        <w:rPr>
          <w:sz w:val="24"/>
        </w:rPr>
      </w:pPr>
      <w:r>
        <w:rPr>
          <w:sz w:val="24"/>
        </w:rPr>
        <w:t>David Hoff (PSE)</w:t>
      </w:r>
    </w:p>
    <w:p>
      <w:pPr>
        <w:pStyle w:val="Normal"/>
        <w:rPr>
          <w:sz w:val="24"/>
        </w:rPr>
      </w:pPr>
      <w:r>
        <w:rPr>
          <w:sz w:val="24"/>
        </w:rPr>
        <w:t>Geoff Carr (Northwest Requirements Utilities)</w:t>
      </w:r>
    </w:p>
    <w:p>
      <w:pPr>
        <w:pStyle w:val="Normal"/>
        <w:rPr>
          <w:sz w:val="24"/>
        </w:rPr>
      </w:pPr>
      <w:r>
        <w:rPr>
          <w:sz w:val="24"/>
        </w:rPr>
        <w:t>Dennis Parrish  (Market Access Coalition Group)</w:t>
      </w:r>
    </w:p>
    <w:p>
      <w:pPr>
        <w:pStyle w:val="Normal"/>
        <w:rPr>
          <w:sz w:val="24"/>
        </w:rPr>
      </w:pPr>
      <w:r>
        <w:rPr>
          <w:sz w:val="24"/>
        </w:rPr>
        <w:t>Pam Jacklin (PacifiCorp)</w:t>
      </w:r>
    </w:p>
    <w:p>
      <w:pPr>
        <w:pStyle w:val="Normal"/>
        <w:rPr>
          <w:sz w:val="24"/>
        </w:rPr>
      </w:pPr>
      <w:r>
        <w:rPr>
          <w:sz w:val="24"/>
        </w:rPr>
        <w:t>Peter Richardson (PPC)</w:t>
      </w:r>
    </w:p>
    <w:p>
      <w:pPr>
        <w:pStyle w:val="Normal"/>
        <w:rPr>
          <w:sz w:val="24"/>
        </w:rPr>
      </w:pPr>
      <w:r>
        <w:rPr>
          <w:sz w:val="24"/>
        </w:rPr>
        <w:t>Kyle Sciuchetti (PPC)</w:t>
      </w:r>
    </w:p>
    <w:p>
      <w:pPr>
        <w:pStyle w:val="Normal"/>
        <w:rPr>
          <w:sz w:val="24"/>
        </w:rPr>
      </w:pPr>
      <w:r>
        <w:rPr>
          <w:sz w:val="24"/>
        </w:rPr>
        <w:t>Ray Kindley (PGP)</w:t>
      </w:r>
    </w:p>
    <w:p>
      <w:pPr>
        <w:pStyle w:val="Normal"/>
        <w:rPr>
          <w:sz w:val="24"/>
        </w:rPr>
      </w:pPr>
      <w:r>
        <w:rPr>
          <w:sz w:val="24"/>
        </w:rPr>
        <w:t>Jay Waldron (PGP)</w:t>
      </w:r>
    </w:p>
    <w:p>
      <w:pPr>
        <w:pStyle w:val="BodyText"/>
        <w:rPr/>
      </w:pPr>
      <w:r>
        <w:rPr/>
        <w:t>Doug Brawley (PNGC)</w:t>
      </w:r>
    </w:p>
    <w:p>
      <w:pPr>
        <w:pStyle w:val="Normal"/>
        <w:rPr>
          <w:sz w:val="24"/>
        </w:rPr>
      </w:pPr>
      <w:r>
        <w:rPr>
          <w:sz w:val="24"/>
        </w:rPr>
        <w:t>Eric Johnson (PNGC)</w:t>
      </w:r>
    </w:p>
    <w:p>
      <w:pPr>
        <w:pStyle w:val="Normal"/>
        <w:rPr>
          <w:sz w:val="24"/>
        </w:rPr>
      </w:pPr>
      <w:r>
        <w:rPr>
          <w:sz w:val="24"/>
        </w:rPr>
        <w:t>Darcy Norville (PGE)</w:t>
      </w:r>
    </w:p>
    <w:p>
      <w:pPr>
        <w:pStyle w:val="Normal"/>
        <w:rPr>
          <w:sz w:val="24"/>
        </w:rPr>
      </w:pPr>
      <w:r>
        <w:rPr>
          <w:sz w:val="24"/>
        </w:rPr>
        <w:t>Lynn Williams (PGE)</w:t>
      </w:r>
    </w:p>
    <w:p>
      <w:pPr>
        <w:pStyle w:val="Normal"/>
        <w:rPr>
          <w:sz w:val="24"/>
        </w:rPr>
      </w:pPr>
      <w:r>
        <w:rPr>
          <w:sz w:val="24"/>
        </w:rPr>
        <w:t>Steve Weiss (Northwest Energy Coalition)</w:t>
      </w:r>
    </w:p>
    <w:p>
      <w:pPr>
        <w:pStyle w:val="Normal"/>
        <w:rPr>
          <w:sz w:val="24"/>
        </w:rPr>
      </w:pPr>
      <w:r>
        <w:rPr>
          <w:sz w:val="24"/>
        </w:rPr>
        <w:t>Mark Hellman (OPUC)</w:t>
      </w:r>
    </w:p>
    <w:p>
      <w:pPr>
        <w:pStyle w:val="Normal"/>
        <w:rPr>
          <w:sz w:val="24"/>
        </w:rPr>
      </w:pPr>
      <w:r>
        <w:rPr>
          <w:sz w:val="24"/>
        </w:rPr>
      </w:r>
    </w:p>
    <w:p>
      <w:pPr>
        <w:pStyle w:val="Normal"/>
        <w:rPr>
          <w:sz w:val="24"/>
        </w:rPr>
      </w:pPr>
      <w:r>
        <w:rPr>
          <w:sz w:val="24"/>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sz w:val="24"/>
        </w:rPr>
      </w:pPr>
      <w:r>
        <w:rPr>
          <w:sz w:val="24"/>
        </w:rPr>
      </w:r>
    </w:p>
    <w:p>
      <w:pPr>
        <w:pStyle w:val="Normal"/>
        <w:rPr>
          <w:sz w:val="24"/>
        </w:rPr>
      </w:pPr>
      <w:r>
        <w:rPr>
          <w:sz w:val="24"/>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sz w:val="24"/>
        </w:rPr>
      </w:pPr>
      <w:r>
        <w:rPr>
          <w:sz w:val="24"/>
        </w:rPr>
      </w:r>
    </w:p>
    <w:p>
      <w:pPr>
        <w:pStyle w:val="Normal"/>
        <w:rPr>
          <w:b/>
          <w:sz w:val="24"/>
        </w:rPr>
      </w:pPr>
      <w:r>
        <w:rPr>
          <w:b/>
          <w:sz w:val="24"/>
        </w:rPr>
        <w:t>Response:</w:t>
      </w:r>
    </w:p>
    <w:p>
      <w:pPr>
        <w:pStyle w:val="Normal"/>
        <w:rPr>
          <w:sz w:val="24"/>
        </w:rPr>
      </w:pPr>
      <w:r>
        <w:rPr>
          <w:sz w:val="24"/>
        </w:rPr>
        <w:t>The Oregon Public Utility Commission (OPUC) objects to this Data Request on the grounds that it (i) seeks information that is not relevant; (ii) seeks information that is privileged; and (iii) seeks information that is unduly burdensome to produce.  Rules of Procedure Governing Rate Hearings, Section 1010.8(b).  OPUC further objects to the Data Request on the grounds that it is in improper form as it does not cite to specific testimony or indicate the specific use to which the information sought will be put.  Special Rules of Practice, WP-02-O-0l.  Without waiving the foregoing objections, OPUC responds as follows:</w:t>
      </w:r>
    </w:p>
    <w:p>
      <w:pPr>
        <w:pStyle w:val="Normal"/>
        <w:rPr>
          <w:sz w:val="24"/>
        </w:rPr>
      </w:pPr>
      <w:r>
        <w:rPr>
          <w:sz w:val="24"/>
        </w:rPr>
      </w:r>
    </w:p>
    <w:p>
      <w:pPr>
        <w:pStyle w:val="Normal"/>
        <w:rPr>
          <w:sz w:val="24"/>
        </w:rPr>
      </w:pPr>
      <w:r>
        <w:rPr>
          <w:sz w:val="24"/>
        </w:rPr>
        <w:t>OPUC has no documents responsive to this request.  There have been no communications between representatives of OPUC and BPA concerning the subject matter of the data request, other than at noticed BPA meetings.  To the extent this request may apply to communications by other parties, OPUC has no documents that would be responsive and OPUC is not aware of such communications other than those disclosed by other parties responding to this data request..</w:t>
      </w:r>
    </w:p>
    <w:p>
      <w:pPr>
        <w:pStyle w:val="Normal"/>
        <w:rPr>
          <w:sz w:val="24"/>
        </w:rPr>
      </w:pPr>
      <w:r>
        <w:rPr>
          <w:sz w:val="24"/>
        </w:rPr>
      </w:r>
    </w:p>
    <w:p>
      <w:pPr>
        <w:pStyle w:val="Normal"/>
        <w:rPr>
          <w:sz w:val="24"/>
        </w:rPr>
      </w:pPr>
      <w:r>
        <w:rPr>
          <w:sz w:val="24"/>
        </w:rPr>
        <w:t>March 21, 2001</w:t>
      </w:r>
    </w:p>
    <w:p>
      <w:pPr>
        <w:pStyle w:val="Normal"/>
        <w:rPr>
          <w:sz w:val="24"/>
        </w:rPr>
      </w:pPr>
      <w:r>
        <w:rPr>
          <w:sz w:val="24"/>
        </w:rPr>
      </w:r>
    </w:p>
    <w:p>
      <w:pPr>
        <w:pStyle w:val="Normal"/>
        <w:rPr>
          <w:sz w:val="24"/>
        </w:rPr>
      </w:pPr>
      <w:r>
        <w:rPr>
          <w:sz w:val="24"/>
        </w:rPr>
        <w:t>cc:  Hearing Clerk and Service List (via electronic mail)</w:t>
      </w:r>
    </w:p>
    <w:p>
      <w:pPr>
        <w:pStyle w:val="Normal"/>
        <w:rPr>
          <w:sz w:val="24"/>
        </w:rPr>
      </w:pPr>
      <w:r>
        <w:rPr>
          <w:sz w:val="24"/>
        </w:rPr>
      </w:r>
    </w:p>
    <w:p>
      <w:pPr>
        <w:pStyle w:val="BodyTextIndent"/>
        <w:rPr/>
      </w:pPr>
      <w:r>
        <w:rPr/>
        <w:t xml:space="preserve"> </w:t>
      </w:r>
      <w:r>
        <w:br w:type="page"/>
      </w:r>
    </w:p>
    <w:p>
      <w:pPr>
        <w:pStyle w:val="Normal"/>
        <w:rPr>
          <w:sz w:val="24"/>
        </w:rPr>
      </w:pPr>
      <w:r>
        <w:rPr>
          <w:sz w:val="24"/>
        </w:rPr>
        <w:t>March 21, 2001</w:t>
      </w:r>
    </w:p>
    <w:p>
      <w:pPr>
        <w:pStyle w:val="Normal"/>
        <w:rPr>
          <w:sz w:val="24"/>
        </w:rPr>
      </w:pPr>
      <w:r>
        <w:rPr>
          <w:sz w:val="24"/>
        </w:rPr>
      </w:r>
    </w:p>
    <w:p>
      <w:pPr>
        <w:pStyle w:val="Normal"/>
        <w:rPr>
          <w:sz w:val="24"/>
        </w:rPr>
      </w:pPr>
      <w:r>
        <w:rPr>
          <w:sz w:val="24"/>
        </w:rPr>
        <w:t>Paul M. Murphy</w:t>
      </w:r>
    </w:p>
    <w:p>
      <w:pPr>
        <w:pStyle w:val="Normal"/>
        <w:rPr>
          <w:sz w:val="24"/>
        </w:rPr>
      </w:pPr>
      <w:r>
        <w:rPr>
          <w:sz w:val="24"/>
        </w:rPr>
        <w:t>Murphy &amp; Buchal LLP</w:t>
      </w:r>
    </w:p>
    <w:p>
      <w:pPr>
        <w:pStyle w:val="Normal"/>
        <w:rPr>
          <w:sz w:val="24"/>
        </w:rPr>
      </w:pPr>
      <w:r>
        <w:rPr>
          <w:sz w:val="24"/>
        </w:rPr>
        <w:t>1500 S.W. First Avenue, Suite 1135</w:t>
      </w:r>
    </w:p>
    <w:p>
      <w:pPr>
        <w:pStyle w:val="Normal"/>
        <w:rPr>
          <w:sz w:val="24"/>
        </w:rPr>
      </w:pPr>
      <w:r>
        <w:rPr>
          <w:sz w:val="24"/>
        </w:rPr>
        <w:t>Portland, OR  97201</w:t>
      </w:r>
    </w:p>
    <w:p>
      <w:pPr>
        <w:pStyle w:val="Normal"/>
        <w:rPr>
          <w:sz w:val="24"/>
        </w:rPr>
      </w:pPr>
      <w:r>
        <w:rPr>
          <w:sz w:val="24"/>
        </w:rPr>
      </w:r>
    </w:p>
    <w:p>
      <w:pPr>
        <w:pStyle w:val="Normal"/>
        <w:rPr>
          <w:sz w:val="24"/>
        </w:rPr>
      </w:pPr>
      <w:r>
        <w:rPr>
          <w:sz w:val="24"/>
        </w:rPr>
        <w:t>Response to Data Request:</w:t>
        <w:tab/>
        <w:t>DS-OP:002 (Amended)</w:t>
      </w:r>
    </w:p>
    <w:p>
      <w:pPr>
        <w:pStyle w:val="Normal"/>
        <w:rPr>
          <w:sz w:val="24"/>
        </w:rPr>
      </w:pPr>
      <w:r>
        <w:rPr>
          <w:sz w:val="24"/>
        </w:rPr>
      </w:r>
    </w:p>
    <w:p>
      <w:pPr>
        <w:pStyle w:val="Normal"/>
        <w:rPr>
          <w:sz w:val="24"/>
        </w:rPr>
      </w:pPr>
      <w:r>
        <w:rPr>
          <w:sz w:val="24"/>
        </w:rPr>
        <w:t>Request_text:  Please disclose and/or produce any and all communications from October 16, 2000 to the present, between the BPA representatives listed below and any representative of any other party concerning BPA's rates to be in effect for Fiscal Years 2002-2006, the interactions of such rates and customer contracts, or procedural aspects of these rate proceedings.</w:t>
      </w:r>
    </w:p>
    <w:p>
      <w:pPr>
        <w:pStyle w:val="Normal"/>
        <w:rPr>
          <w:sz w:val="24"/>
        </w:rPr>
      </w:pPr>
      <w:r>
        <w:rPr>
          <w:sz w:val="24"/>
        </w:rPr>
      </w:r>
    </w:p>
    <w:p>
      <w:pPr>
        <w:pStyle w:val="Normal"/>
        <w:rPr>
          <w:sz w:val="24"/>
        </w:rPr>
      </w:pPr>
      <w:r>
        <w:rPr>
          <w:sz w:val="24"/>
        </w:rPr>
        <w:t xml:space="preserve">Bob Proctor </w:t>
      </w:r>
    </w:p>
    <w:p>
      <w:pPr>
        <w:pStyle w:val="Normal"/>
        <w:rPr>
          <w:sz w:val="24"/>
        </w:rPr>
      </w:pPr>
      <w:r>
        <w:rPr>
          <w:sz w:val="24"/>
        </w:rPr>
        <w:t xml:space="preserve">Tim McCoy </w:t>
      </w:r>
    </w:p>
    <w:p>
      <w:pPr>
        <w:pStyle w:val="Normal"/>
        <w:rPr>
          <w:sz w:val="24"/>
        </w:rPr>
      </w:pPr>
      <w:r>
        <w:rPr>
          <w:sz w:val="24"/>
        </w:rPr>
        <w:t>Byrne Lovell</w:t>
      </w:r>
    </w:p>
    <w:p>
      <w:pPr>
        <w:pStyle w:val="Normal"/>
        <w:rPr>
          <w:sz w:val="24"/>
        </w:rPr>
      </w:pPr>
      <w:r>
        <w:rPr>
          <w:sz w:val="24"/>
        </w:rPr>
        <w:t>Byron Keep</w:t>
      </w:r>
    </w:p>
    <w:p>
      <w:pPr>
        <w:pStyle w:val="Normal"/>
        <w:rPr>
          <w:sz w:val="24"/>
        </w:rPr>
      </w:pPr>
      <w:r>
        <w:rPr>
          <w:sz w:val="24"/>
        </w:rPr>
        <w:t>Valerie Lefler</w:t>
      </w:r>
    </w:p>
    <w:p>
      <w:pPr>
        <w:pStyle w:val="Normal"/>
        <w:rPr>
          <w:sz w:val="24"/>
        </w:rPr>
      </w:pPr>
      <w:r>
        <w:rPr>
          <w:sz w:val="24"/>
        </w:rPr>
        <w:t>Jon Wright</w:t>
      </w:r>
    </w:p>
    <w:p>
      <w:pPr>
        <w:pStyle w:val="Normal"/>
        <w:rPr>
          <w:sz w:val="24"/>
        </w:rPr>
      </w:pPr>
      <w:r>
        <w:rPr>
          <w:sz w:val="24"/>
        </w:rPr>
        <w:t>Peter Berger</w:t>
      </w:r>
    </w:p>
    <w:p>
      <w:pPr>
        <w:pStyle w:val="Normal"/>
        <w:rPr>
          <w:sz w:val="24"/>
        </w:rPr>
      </w:pPr>
      <w:r>
        <w:rPr>
          <w:sz w:val="24"/>
        </w:rPr>
      </w:r>
    </w:p>
    <w:p>
      <w:pPr>
        <w:pStyle w:val="Normal"/>
        <w:rPr>
          <w:sz w:val="24"/>
        </w:rPr>
      </w:pPr>
      <w:r>
        <w:rPr>
          <w:sz w:val="24"/>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sz w:val="24"/>
        </w:rPr>
      </w:pPr>
      <w:r>
        <w:rPr>
          <w:sz w:val="24"/>
        </w:rPr>
      </w:r>
    </w:p>
    <w:p>
      <w:pPr>
        <w:pStyle w:val="Normal"/>
        <w:rPr>
          <w:sz w:val="24"/>
        </w:rPr>
      </w:pPr>
      <w:r>
        <w:rPr>
          <w:sz w:val="24"/>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b/>
          <w:sz w:val="24"/>
        </w:rPr>
      </w:pPr>
      <w:r>
        <w:rPr>
          <w:b/>
          <w:sz w:val="24"/>
        </w:rPr>
        <w:t>Response:</w:t>
      </w:r>
    </w:p>
    <w:p>
      <w:pPr>
        <w:pStyle w:val="Normal"/>
        <w:rPr>
          <w:sz w:val="24"/>
        </w:rPr>
      </w:pPr>
      <w:r>
        <w:rPr>
          <w:sz w:val="24"/>
        </w:rPr>
        <w:t>The Oregon Public Utility Commission (OPUC) objects to this Data Request on the grounds that it (i) seeks information that is not relevant; (ii) seeks information that is privileged; and (iii) seeks information that is unduly burdensome to produce.  Rules of Procedure Governing Rate Hearings, Section 1010.8(b).  OPUC further objects to the Data Request on the grounds that it is in improper form as it does not cite to specific testimony or indicate the specific use to which the information sought will be put.  Special Rules of Practice, WP-02-O-0l.  Without waiving the foregoing objections, OPUC responds as follows:</w:t>
      </w:r>
    </w:p>
    <w:p>
      <w:pPr>
        <w:pStyle w:val="Normal"/>
        <w:rPr>
          <w:sz w:val="24"/>
        </w:rPr>
      </w:pPr>
      <w:r>
        <w:rPr>
          <w:sz w:val="24"/>
        </w:rPr>
      </w:r>
    </w:p>
    <w:p>
      <w:pPr>
        <w:pStyle w:val="Normal"/>
        <w:rPr>
          <w:sz w:val="24"/>
        </w:rPr>
      </w:pPr>
      <w:r>
        <w:rPr>
          <w:sz w:val="24"/>
        </w:rPr>
        <w:t>OPUC has no documents responsive to this request.  There have been no communications between representatives of OPUC and BPA concerning the subject matter of the data request, other than at noticed BPA meetings.  To the extent this request may apply to communications by other parties, OPUC has no documents that would be responsive and OPUC is not aware of such communications other than those disclosed by other parties responding to this data request..</w:t>
      </w:r>
    </w:p>
    <w:p>
      <w:pPr>
        <w:pStyle w:val="Normal"/>
        <w:rPr>
          <w:sz w:val="24"/>
        </w:rPr>
      </w:pPr>
      <w:r>
        <w:rPr>
          <w:sz w:val="24"/>
        </w:rPr>
      </w:r>
    </w:p>
    <w:p>
      <w:pPr>
        <w:pStyle w:val="Normal"/>
        <w:rPr>
          <w:sz w:val="24"/>
        </w:rPr>
      </w:pPr>
      <w:r>
        <w:rPr>
          <w:sz w:val="24"/>
        </w:rPr>
      </w:r>
    </w:p>
    <w:p>
      <w:pPr>
        <w:pStyle w:val="Normal"/>
        <w:rPr>
          <w:sz w:val="24"/>
        </w:rPr>
      </w:pPr>
      <w:r>
        <w:rPr>
          <w:sz w:val="24"/>
        </w:rPr>
        <w:t>March 21, 2001</w:t>
      </w:r>
    </w:p>
    <w:p>
      <w:pPr>
        <w:pStyle w:val="Normal"/>
        <w:rPr>
          <w:sz w:val="24"/>
        </w:rPr>
      </w:pPr>
      <w:r>
        <w:rPr>
          <w:sz w:val="24"/>
        </w:rPr>
      </w:r>
    </w:p>
    <w:p>
      <w:pPr>
        <w:pStyle w:val="Normal"/>
        <w:rPr>
          <w:sz w:val="24"/>
        </w:rPr>
      </w:pPr>
      <w:r>
        <w:rPr>
          <w:sz w:val="24"/>
        </w:rPr>
        <w:t>cc:  Hearing Clerk and Service List (via electronic mail)</w:t>
      </w:r>
      <w:r>
        <w:br w:type="page"/>
      </w:r>
    </w:p>
    <w:p>
      <w:pPr>
        <w:pStyle w:val="Normal"/>
        <w:rPr>
          <w:sz w:val="24"/>
        </w:rPr>
      </w:pPr>
      <w:r>
        <w:rPr>
          <w:sz w:val="24"/>
        </w:rPr>
        <w:t>March 21, 2001</w:t>
      </w:r>
    </w:p>
    <w:p>
      <w:pPr>
        <w:pStyle w:val="Normal"/>
        <w:rPr>
          <w:sz w:val="24"/>
        </w:rPr>
      </w:pPr>
      <w:r>
        <w:rPr>
          <w:sz w:val="24"/>
        </w:rPr>
      </w:r>
    </w:p>
    <w:p>
      <w:pPr>
        <w:pStyle w:val="Normal"/>
        <w:rPr>
          <w:sz w:val="24"/>
        </w:rPr>
      </w:pPr>
      <w:r>
        <w:rPr>
          <w:sz w:val="24"/>
        </w:rPr>
        <w:t>Paul M. Murphy</w:t>
      </w:r>
    </w:p>
    <w:p>
      <w:pPr>
        <w:pStyle w:val="Normal"/>
        <w:rPr>
          <w:sz w:val="24"/>
        </w:rPr>
      </w:pPr>
      <w:r>
        <w:rPr>
          <w:sz w:val="24"/>
        </w:rPr>
        <w:t>Murphy &amp; Buchal LLP</w:t>
      </w:r>
    </w:p>
    <w:p>
      <w:pPr>
        <w:pStyle w:val="Normal"/>
        <w:rPr>
          <w:sz w:val="24"/>
        </w:rPr>
      </w:pPr>
      <w:r>
        <w:rPr>
          <w:sz w:val="24"/>
        </w:rPr>
        <w:t>1500 S.W. First Avenue, Suite 1135</w:t>
      </w:r>
    </w:p>
    <w:p>
      <w:pPr>
        <w:pStyle w:val="Normal"/>
        <w:rPr>
          <w:sz w:val="24"/>
        </w:rPr>
      </w:pPr>
      <w:r>
        <w:rPr>
          <w:sz w:val="24"/>
        </w:rPr>
        <w:t>Portland, OR  97201</w:t>
      </w:r>
    </w:p>
    <w:p>
      <w:pPr>
        <w:pStyle w:val="Normal"/>
        <w:rPr>
          <w:sz w:val="24"/>
        </w:rPr>
      </w:pPr>
      <w:r>
        <w:rPr>
          <w:sz w:val="24"/>
        </w:rPr>
      </w:r>
    </w:p>
    <w:p>
      <w:pPr>
        <w:pStyle w:val="Normal"/>
        <w:rPr>
          <w:sz w:val="24"/>
        </w:rPr>
      </w:pPr>
      <w:r>
        <w:rPr>
          <w:sz w:val="24"/>
        </w:rPr>
        <w:t>Response to Data Request:</w:t>
        <w:tab/>
        <w:t>DS-OP:001 (Amended)</w:t>
      </w:r>
    </w:p>
    <w:p>
      <w:pPr>
        <w:pStyle w:val="Normal"/>
        <w:rPr>
          <w:sz w:val="24"/>
        </w:rPr>
      </w:pPr>
      <w:r>
        <w:rPr>
          <w:sz w:val="24"/>
        </w:rPr>
      </w:r>
    </w:p>
    <w:p>
      <w:pPr>
        <w:pStyle w:val="Normal"/>
        <w:rPr>
          <w:sz w:val="24"/>
        </w:rPr>
      </w:pPr>
      <w:r>
        <w:rPr>
          <w:sz w:val="24"/>
        </w:rPr>
        <w:t>Request text:  Please disclose and/or produce copies of any and all communications, from October 16, 2000 to the present, between any BPA representative and any representative of any other party, concerning any of the following subjects:</w:t>
      </w:r>
    </w:p>
    <w:p>
      <w:pPr>
        <w:pStyle w:val="Normal"/>
        <w:rPr>
          <w:sz w:val="24"/>
        </w:rPr>
      </w:pPr>
      <w:r>
        <w:rPr>
          <w:sz w:val="24"/>
        </w:rPr>
      </w:r>
    </w:p>
    <w:p>
      <w:pPr>
        <w:pStyle w:val="Normal"/>
        <w:ind w:start="720" w:end="0"/>
        <w:rPr>
          <w:sz w:val="24"/>
        </w:rPr>
      </w:pPr>
      <w:r>
        <w:rPr>
          <w:sz w:val="24"/>
        </w:rPr>
        <w:t>a.</w:t>
        <w:tab/>
        <w:t>The general structure of the Cost Recovery Adjustment Clauses (CRACs) described in the testimony of the Joint Customers;</w:t>
      </w:r>
    </w:p>
    <w:p>
      <w:pPr>
        <w:pStyle w:val="Normal"/>
        <w:ind w:start="720" w:end="0"/>
        <w:rPr>
          <w:sz w:val="24"/>
        </w:rPr>
      </w:pPr>
      <w:r>
        <w:rPr>
          <w:sz w:val="24"/>
        </w:rPr>
      </w:r>
    </w:p>
    <w:p>
      <w:pPr>
        <w:pStyle w:val="Normal"/>
        <w:ind w:start="720" w:end="0"/>
        <w:rPr>
          <w:sz w:val="24"/>
        </w:rPr>
      </w:pPr>
      <w:r>
        <w:rPr>
          <w:sz w:val="24"/>
        </w:rPr>
        <w:t>b.</w:t>
        <w:tab/>
        <w:t xml:space="preserve">Any differences between the form of the CRACs described in the testimony of the Joint Customers and the CRACs contained in BPA's Amended Proposal, or those contained in BPA's Supplemental Proposal; </w:t>
      </w:r>
    </w:p>
    <w:p>
      <w:pPr>
        <w:pStyle w:val="Normal"/>
        <w:ind w:start="720" w:end="0"/>
        <w:rPr>
          <w:sz w:val="24"/>
        </w:rPr>
      </w:pPr>
      <w:r>
        <w:rPr>
          <w:sz w:val="24"/>
        </w:rPr>
      </w:r>
    </w:p>
    <w:p>
      <w:pPr>
        <w:pStyle w:val="Normal"/>
        <w:ind w:start="720" w:end="0"/>
        <w:rPr>
          <w:sz w:val="24"/>
        </w:rPr>
      </w:pPr>
      <w:r>
        <w:rPr>
          <w:sz w:val="24"/>
        </w:rPr>
        <w:t>c.</w:t>
        <w:tab/>
        <w:t>The detailed mechanics of implementing the CRACs described in the testimony of the Joint Customers;</w:t>
      </w:r>
    </w:p>
    <w:p>
      <w:pPr>
        <w:pStyle w:val="Normal"/>
        <w:ind w:start="720" w:end="0"/>
        <w:rPr>
          <w:sz w:val="24"/>
        </w:rPr>
      </w:pPr>
      <w:r>
        <w:rPr>
          <w:sz w:val="24"/>
        </w:rPr>
      </w:r>
    </w:p>
    <w:p>
      <w:pPr>
        <w:pStyle w:val="Normal"/>
        <w:ind w:start="720" w:end="0"/>
        <w:rPr>
          <w:sz w:val="24"/>
        </w:rPr>
      </w:pPr>
      <w:r>
        <w:rPr>
          <w:sz w:val="24"/>
        </w:rPr>
        <w:t>d.</w:t>
        <w:tab/>
        <w:t>Revenue effects of the CRACs described in the testimony of the Joint Customers, any modifications; or</w:t>
      </w:r>
    </w:p>
    <w:p>
      <w:pPr>
        <w:pStyle w:val="Normal"/>
        <w:ind w:start="720" w:end="0"/>
        <w:rPr>
          <w:sz w:val="24"/>
        </w:rPr>
      </w:pPr>
      <w:r>
        <w:rPr>
          <w:sz w:val="24"/>
        </w:rPr>
      </w:r>
    </w:p>
    <w:p>
      <w:pPr>
        <w:pStyle w:val="Normal"/>
        <w:ind w:start="720" w:end="0"/>
        <w:rPr>
          <w:sz w:val="24"/>
        </w:rPr>
      </w:pPr>
      <w:r>
        <w:rPr>
          <w:sz w:val="24"/>
        </w:rPr>
        <w:t>e.</w:t>
        <w:tab/>
        <w:t>Any aspect of the Partial Stipulation and Settlement Agreement and the Parties' Proposal attached thereto.</w:t>
      </w:r>
    </w:p>
    <w:p>
      <w:pPr>
        <w:pStyle w:val="Normal"/>
        <w:rPr>
          <w:sz w:val="24"/>
        </w:rPr>
      </w:pPr>
      <w:r>
        <w:rPr>
          <w:sz w:val="24"/>
        </w:rPr>
      </w:r>
    </w:p>
    <w:p>
      <w:pPr>
        <w:pStyle w:val="BodyText"/>
        <w:rPr/>
      </w:pPr>
      <w:r>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sz w:val="24"/>
        </w:rPr>
      </w:pPr>
      <w:r>
        <w:rPr>
          <w:sz w:val="24"/>
        </w:rPr>
      </w:r>
    </w:p>
    <w:p>
      <w:pPr>
        <w:pStyle w:val="BodyText"/>
        <w:rPr/>
      </w:pPr>
      <w:r>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sz w:val="24"/>
        </w:rPr>
      </w:pPr>
      <w:r>
        <w:rPr>
          <w:sz w:val="24"/>
        </w:rPr>
      </w:r>
    </w:p>
    <w:p>
      <w:pPr>
        <w:pStyle w:val="Normal"/>
        <w:rPr>
          <w:sz w:val="24"/>
        </w:rPr>
      </w:pPr>
      <w:r>
        <w:rPr>
          <w:sz w:val="24"/>
        </w:rPr>
        <w:t xml:space="preserve">Response </w:t>
      </w:r>
    </w:p>
    <w:p>
      <w:pPr>
        <w:pStyle w:val="Normal"/>
        <w:rPr>
          <w:sz w:val="24"/>
        </w:rPr>
      </w:pPr>
      <w:r>
        <w:rPr>
          <w:sz w:val="24"/>
        </w:rPr>
        <w:t>The Oregon Public Utility Commission (OPUC) objects to this Data Request on the grounds that it (i) seeks information that is not relevant; (ii) seeks information that is privileged; and (iii) seeks information that is unduly burdensome to produce.  Rules of Procedure Governing Rate Hearings, Section 1010.8(b).  OPUC further objects to the Data Request on the grounds that it is in improper form as it does not cite to specific testimony or indicate the specific use to which the information sought will be put.  Special Rules of Practice, WP-02-O-0l.  Without waiving the foregoing objections, OPUC responds as follows:</w:t>
      </w:r>
    </w:p>
    <w:p>
      <w:pPr>
        <w:pStyle w:val="Normal"/>
        <w:rPr>
          <w:sz w:val="24"/>
        </w:rPr>
      </w:pPr>
      <w:r>
        <w:rPr>
          <w:sz w:val="24"/>
        </w:rPr>
      </w:r>
    </w:p>
    <w:p>
      <w:pPr>
        <w:pStyle w:val="Normal"/>
        <w:rPr>
          <w:sz w:val="24"/>
        </w:rPr>
      </w:pPr>
      <w:r>
        <w:rPr>
          <w:sz w:val="24"/>
        </w:rPr>
        <w:t>OPUC has no documents responsive to this request.  There have been no communications between representatives of OPUC and BPA concerning the subject matter of the data request, other than at noticed BPA meetings.  To the extent this request may apply to communications by other parties, OPUC has no documents that would be responsive and OPUC is not aware of such communications other than those disclosed by other parties responding to this data request..</w:t>
      </w:r>
    </w:p>
    <w:p>
      <w:pPr>
        <w:pStyle w:val="Normal"/>
        <w:rPr>
          <w:sz w:val="24"/>
        </w:rPr>
      </w:pPr>
      <w:r>
        <w:rPr>
          <w:sz w:val="24"/>
        </w:rPr>
      </w:r>
    </w:p>
    <w:p>
      <w:pPr>
        <w:pStyle w:val="Normal"/>
        <w:rPr>
          <w:sz w:val="24"/>
        </w:rPr>
      </w:pPr>
      <w:r>
        <w:rPr>
          <w:sz w:val="24"/>
        </w:rPr>
      </w:r>
    </w:p>
    <w:p>
      <w:pPr>
        <w:pStyle w:val="Normal"/>
        <w:rPr>
          <w:sz w:val="24"/>
        </w:rPr>
      </w:pPr>
      <w:r>
        <w:rPr>
          <w:sz w:val="24"/>
        </w:rPr>
        <w:t>March 21, 2001</w:t>
      </w:r>
    </w:p>
    <w:p>
      <w:pPr>
        <w:pStyle w:val="Normal"/>
        <w:rPr>
          <w:sz w:val="24"/>
        </w:rPr>
      </w:pPr>
      <w:r>
        <w:rPr>
          <w:sz w:val="24"/>
        </w:rPr>
      </w:r>
    </w:p>
    <w:p>
      <w:pPr>
        <w:pStyle w:val="Normal"/>
        <w:rPr>
          <w:sz w:val="24"/>
        </w:rPr>
      </w:pPr>
      <w:r>
        <w:rPr>
          <w:sz w:val="24"/>
        </w:rPr>
        <w:t>cc:  Hearing Clerk and Service List (via electronic mail)</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137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rFonts w:ascii="CG Times (W1)" w:hAnsi="CG Times (W1)" w:cs="CG Times (W1)"/>
      <w:b/>
      <w:i/>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2001-03-21T13:31:00Z</dcterms:created>
  <dc:creator>Prewitt, Janet</dc:creator>
  <dc:description/>
  <dc:language>en-CA</dc:language>
  <cp:lastModifiedBy>Janet L. Prewitt</cp:lastModifiedBy>
  <cp:lastPrinted>2001-03-20T16:52:00Z</cp:lastPrinted>
  <dcterms:modified xsi:type="dcterms:W3CDTF">2001-03-21T13:31:00Z</dcterms:modified>
  <cp:revision>2</cp:revision>
  <dc:subject/>
  <dc:title>OPUC/BPA Amended Rate Case/Amended Data Responses</dc:title>
</cp:coreProperties>
</file>